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856" w:rsidRPr="0033222D" w:rsidRDefault="00A25856" w:rsidP="00A25856">
      <w:pPr>
        <w:pStyle w:val="a3"/>
        <w:rPr>
          <w:szCs w:val="28"/>
        </w:rPr>
      </w:pPr>
      <w:r w:rsidRPr="0033222D">
        <w:rPr>
          <w:szCs w:val="28"/>
        </w:rPr>
        <w:t xml:space="preserve">Звіт про базове відстеження результативності </w:t>
      </w:r>
    </w:p>
    <w:p w:rsidR="00A25856" w:rsidRPr="0053006C" w:rsidRDefault="00A25856" w:rsidP="00A25856">
      <w:pPr>
        <w:spacing w:after="0" w:line="240" w:lineRule="auto"/>
        <w:ind w:firstLine="709"/>
        <w:jc w:val="center"/>
        <w:rPr>
          <w:rFonts w:ascii="Times New Roman" w:hAnsi="Times New Roman"/>
          <w:b/>
          <w:sz w:val="28"/>
          <w:szCs w:val="28"/>
        </w:rPr>
      </w:pPr>
      <w:r w:rsidRPr="0053006C">
        <w:rPr>
          <w:rFonts w:ascii="Times New Roman" w:hAnsi="Times New Roman"/>
          <w:b/>
          <w:sz w:val="28"/>
          <w:szCs w:val="28"/>
        </w:rPr>
        <w:t xml:space="preserve">рішення </w:t>
      </w:r>
      <w:r>
        <w:rPr>
          <w:rFonts w:ascii="Times New Roman" w:hAnsi="Times New Roman"/>
          <w:b/>
          <w:sz w:val="28"/>
          <w:szCs w:val="28"/>
        </w:rPr>
        <w:t>виконавчої дирекції</w:t>
      </w:r>
      <w:r w:rsidRPr="0053006C">
        <w:rPr>
          <w:rFonts w:ascii="Times New Roman" w:hAnsi="Times New Roman"/>
          <w:b/>
          <w:sz w:val="28"/>
          <w:szCs w:val="28"/>
        </w:rPr>
        <w:t xml:space="preserve"> Фонду гарантування вкладів фізичних осіб </w:t>
      </w:r>
      <w:r w:rsidRPr="004470E8">
        <w:rPr>
          <w:rFonts w:ascii="Times New Roman" w:hAnsi="Times New Roman"/>
          <w:b/>
          <w:sz w:val="28"/>
          <w:szCs w:val="28"/>
        </w:rPr>
        <w:t>«</w:t>
      </w:r>
      <w:r>
        <w:rPr>
          <w:rFonts w:ascii="Times New Roman" w:hAnsi="Times New Roman"/>
          <w:b/>
          <w:sz w:val="28"/>
          <w:szCs w:val="28"/>
        </w:rPr>
        <w:t>Про удосконалення порядку складання та подання звітності учасниками Фонду гарантування вкладів фізичних</w:t>
      </w:r>
      <w:r w:rsidRPr="00174536">
        <w:rPr>
          <w:rFonts w:ascii="Times New Roman" w:hAnsi="Times New Roman"/>
          <w:b/>
          <w:sz w:val="28"/>
          <w:szCs w:val="28"/>
        </w:rPr>
        <w:t>»</w:t>
      </w:r>
    </w:p>
    <w:p w:rsidR="00A25856" w:rsidRPr="00317571" w:rsidRDefault="00A25856" w:rsidP="00A25856"/>
    <w:p w:rsidR="00A25856" w:rsidRPr="0033222D" w:rsidRDefault="00A25856" w:rsidP="00A25856">
      <w:pPr>
        <w:pStyle w:val="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86"/>
        <w:jc w:val="both"/>
        <w:rPr>
          <w:rFonts w:ascii="Times New Roman" w:hAnsi="Times New Roman"/>
          <w:b/>
          <w:noProof/>
          <w:sz w:val="28"/>
          <w:szCs w:val="28"/>
          <w:lang w:val="uk-UA"/>
        </w:rPr>
      </w:pPr>
      <w:r w:rsidRPr="0033222D">
        <w:rPr>
          <w:rFonts w:ascii="Times New Roman" w:hAnsi="Times New Roman"/>
          <w:b/>
          <w:noProof/>
          <w:sz w:val="28"/>
          <w:szCs w:val="28"/>
          <w:lang w:val="uk-UA"/>
        </w:rPr>
        <w:t>Вид та назва регуляторного акта</w:t>
      </w:r>
    </w:p>
    <w:p w:rsidR="00A25856" w:rsidRPr="00A25856" w:rsidRDefault="00A25856" w:rsidP="00A25856">
      <w:pPr>
        <w:pStyle w:val="NormalText"/>
        <w:ind w:firstLine="426"/>
        <w:rPr>
          <w:rFonts w:ascii="Times New Roman" w:hAnsi="Times New Roman"/>
          <w:sz w:val="28"/>
          <w:szCs w:val="28"/>
          <w:lang w:val="uk-UA" w:eastAsia="en-US"/>
        </w:rPr>
      </w:pPr>
      <w:r w:rsidRPr="00317571">
        <w:rPr>
          <w:rFonts w:ascii="Times New Roman" w:hAnsi="Times New Roman"/>
          <w:sz w:val="28"/>
          <w:szCs w:val="28"/>
          <w:lang w:val="uk-UA" w:eastAsia="en-US"/>
        </w:rPr>
        <w:t xml:space="preserve">Рішення </w:t>
      </w:r>
      <w:r w:rsidRPr="00A25856">
        <w:rPr>
          <w:rFonts w:ascii="Times New Roman" w:hAnsi="Times New Roman"/>
          <w:sz w:val="28"/>
          <w:szCs w:val="28"/>
          <w:lang w:val="uk-UA" w:eastAsia="en-US"/>
        </w:rPr>
        <w:t xml:space="preserve">виконавчої дирекції Фонду гарантування вкладів фізичних осіб </w:t>
      </w:r>
      <w:r w:rsidRPr="00A25856">
        <w:rPr>
          <w:rFonts w:ascii="Times New Roman" w:hAnsi="Times New Roman"/>
          <w:sz w:val="28"/>
          <w:szCs w:val="28"/>
          <w:lang w:val="uk-UA"/>
        </w:rPr>
        <w:t xml:space="preserve"> від 28.02.2013 № 14 «Про удосконалення порядку складання та подання звітності учасниками Фонду гарантування вкладів фізичних».</w:t>
      </w:r>
    </w:p>
    <w:p w:rsidR="00A25856" w:rsidRPr="00A25856" w:rsidRDefault="00A25856" w:rsidP="00A25856">
      <w:pPr>
        <w:spacing w:after="0" w:line="240" w:lineRule="auto"/>
        <w:ind w:left="360" w:firstLine="348"/>
        <w:jc w:val="both"/>
        <w:rPr>
          <w:rFonts w:ascii="Times New Roman" w:hAnsi="Times New Roman"/>
          <w:sz w:val="28"/>
          <w:szCs w:val="28"/>
        </w:rPr>
      </w:pPr>
    </w:p>
    <w:p w:rsidR="00A25856" w:rsidRPr="0033222D" w:rsidRDefault="00A25856" w:rsidP="00A25856">
      <w:pPr>
        <w:pStyle w:val="HTML"/>
        <w:numPr>
          <w:ilvl w:val="0"/>
          <w:numId w:val="1"/>
        </w:numPr>
        <w:ind w:right="-86"/>
        <w:jc w:val="both"/>
        <w:rPr>
          <w:rFonts w:ascii="Times New Roman" w:hAnsi="Times New Roman"/>
          <w:b/>
          <w:sz w:val="28"/>
          <w:szCs w:val="28"/>
          <w:lang w:val="uk-UA"/>
        </w:rPr>
      </w:pPr>
      <w:r w:rsidRPr="0033222D">
        <w:rPr>
          <w:rFonts w:ascii="Times New Roman" w:hAnsi="Times New Roman"/>
          <w:b/>
          <w:sz w:val="28"/>
          <w:szCs w:val="28"/>
          <w:lang w:val="uk-UA"/>
        </w:rPr>
        <w:t>Виконавець заходів з відстеження</w:t>
      </w:r>
    </w:p>
    <w:p w:rsidR="00A25856" w:rsidRPr="00B64F01" w:rsidRDefault="00A25856" w:rsidP="00A25856">
      <w:pPr>
        <w:pStyle w:val="NormalText"/>
        <w:ind w:firstLine="426"/>
        <w:rPr>
          <w:rFonts w:ascii="Times New Roman" w:hAnsi="Times New Roman"/>
          <w:sz w:val="28"/>
          <w:szCs w:val="28"/>
          <w:lang w:val="uk-UA"/>
        </w:rPr>
      </w:pPr>
      <w:r w:rsidRPr="004E5D52">
        <w:rPr>
          <w:rFonts w:ascii="Times New Roman" w:hAnsi="Times New Roman"/>
          <w:sz w:val="28"/>
          <w:szCs w:val="28"/>
          <w:lang w:val="uk-UA"/>
        </w:rPr>
        <w:t xml:space="preserve">Відділ стратегії та </w:t>
      </w:r>
      <w:r>
        <w:rPr>
          <w:rFonts w:ascii="Times New Roman" w:hAnsi="Times New Roman"/>
          <w:sz w:val="28"/>
          <w:szCs w:val="28"/>
          <w:lang w:val="uk-UA"/>
        </w:rPr>
        <w:t>нормативно-методологічного забезпечення</w:t>
      </w:r>
      <w:r w:rsidRPr="004E5D52">
        <w:rPr>
          <w:rFonts w:ascii="Times New Roman" w:hAnsi="Times New Roman"/>
          <w:sz w:val="28"/>
          <w:szCs w:val="28"/>
          <w:lang w:val="uk-UA"/>
        </w:rPr>
        <w:t xml:space="preserve"> Фонду.</w:t>
      </w:r>
    </w:p>
    <w:p w:rsidR="00A25856" w:rsidRPr="00B64F01" w:rsidRDefault="00A25856" w:rsidP="00A25856">
      <w:pPr>
        <w:pStyle w:val="NormalText"/>
        <w:rPr>
          <w:rFonts w:ascii="Times New Roman" w:hAnsi="Times New Roman"/>
          <w:sz w:val="28"/>
          <w:szCs w:val="28"/>
          <w:lang w:val="uk-UA" w:eastAsia="en-US"/>
        </w:rPr>
      </w:pPr>
    </w:p>
    <w:p w:rsidR="00A25856" w:rsidRDefault="00A25856" w:rsidP="00A25856">
      <w:pPr>
        <w:pStyle w:val="HTML"/>
        <w:numPr>
          <w:ilvl w:val="0"/>
          <w:numId w:val="1"/>
        </w:numPr>
        <w:ind w:right="-86"/>
        <w:jc w:val="both"/>
        <w:rPr>
          <w:rFonts w:ascii="Times New Roman" w:hAnsi="Times New Roman"/>
          <w:b/>
          <w:sz w:val="28"/>
          <w:szCs w:val="28"/>
          <w:lang w:val="uk-UA"/>
        </w:rPr>
      </w:pPr>
      <w:r w:rsidRPr="0033222D">
        <w:rPr>
          <w:rFonts w:ascii="Times New Roman" w:hAnsi="Times New Roman"/>
          <w:b/>
          <w:sz w:val="28"/>
          <w:szCs w:val="28"/>
          <w:lang w:val="uk-UA"/>
        </w:rPr>
        <w:t xml:space="preserve">Цілі прийняття </w:t>
      </w:r>
      <w:r>
        <w:rPr>
          <w:rFonts w:ascii="Times New Roman" w:hAnsi="Times New Roman"/>
          <w:b/>
          <w:sz w:val="28"/>
          <w:szCs w:val="28"/>
          <w:lang w:val="uk-UA"/>
        </w:rPr>
        <w:t xml:space="preserve">регуляторного </w:t>
      </w:r>
      <w:r w:rsidRPr="0033222D">
        <w:rPr>
          <w:rFonts w:ascii="Times New Roman" w:hAnsi="Times New Roman"/>
          <w:b/>
          <w:sz w:val="28"/>
          <w:szCs w:val="28"/>
          <w:lang w:val="uk-UA"/>
        </w:rPr>
        <w:t>акта</w:t>
      </w:r>
    </w:p>
    <w:p w:rsidR="004B60DD" w:rsidRDefault="00A25856" w:rsidP="004B60DD">
      <w:pPr>
        <w:spacing w:before="120" w:after="120" w:line="240" w:lineRule="auto"/>
        <w:ind w:firstLine="709"/>
        <w:jc w:val="both"/>
        <w:rPr>
          <w:rFonts w:ascii="Times New Roman" w:hAnsi="Times New Roman"/>
          <w:sz w:val="28"/>
          <w:szCs w:val="28"/>
        </w:rPr>
      </w:pPr>
      <w:r w:rsidRPr="00640024">
        <w:rPr>
          <w:rFonts w:ascii="Times New Roman" w:hAnsi="Times New Roman"/>
          <w:sz w:val="28"/>
          <w:szCs w:val="28"/>
        </w:rPr>
        <w:t>Регуляторний акт спрямований на</w:t>
      </w:r>
      <w:r w:rsidR="004B60DD">
        <w:rPr>
          <w:rFonts w:ascii="Times New Roman" w:hAnsi="Times New Roman"/>
          <w:sz w:val="28"/>
          <w:szCs w:val="28"/>
        </w:rPr>
        <w:t>отримання більш детальної інформації від учасників Фонду, у тому числі отримання оперативної інформації від проблемних банків, а також удосконалення порядку складання та подання звітності до Фонду.</w:t>
      </w:r>
    </w:p>
    <w:p w:rsidR="00A25856" w:rsidRDefault="00A25856" w:rsidP="00A25856">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Строк виконання заходів з відстеження</w:t>
      </w:r>
    </w:p>
    <w:p w:rsidR="00A25856" w:rsidRPr="00445504" w:rsidRDefault="00A25856" w:rsidP="00A25856">
      <w:pPr>
        <w:pStyle w:val="NormalText"/>
        <w:ind w:firstLine="360"/>
        <w:rPr>
          <w:rFonts w:ascii="Times New Roman" w:hAnsi="Times New Roman"/>
          <w:sz w:val="28"/>
          <w:szCs w:val="28"/>
          <w:lang w:val="uk-UA"/>
        </w:rPr>
      </w:pPr>
      <w:r w:rsidRPr="00445504">
        <w:rPr>
          <w:rFonts w:ascii="Times New Roman" w:hAnsi="Times New Roman"/>
          <w:sz w:val="28"/>
          <w:szCs w:val="28"/>
          <w:lang w:val="uk-UA"/>
        </w:rPr>
        <w:t xml:space="preserve">Базове відстеження результативності регуляторного акта проводилось з </w:t>
      </w:r>
      <w:r w:rsidR="00132F8C">
        <w:rPr>
          <w:rFonts w:ascii="Times New Roman" w:hAnsi="Times New Roman"/>
          <w:sz w:val="28"/>
          <w:szCs w:val="28"/>
          <w:lang w:val="uk-UA"/>
        </w:rPr>
        <w:t>0</w:t>
      </w:r>
      <w:r>
        <w:rPr>
          <w:rFonts w:ascii="Times New Roman" w:hAnsi="Times New Roman"/>
          <w:sz w:val="28"/>
          <w:szCs w:val="28"/>
          <w:lang w:val="uk-UA"/>
        </w:rPr>
        <w:t>1</w:t>
      </w:r>
      <w:r w:rsidRPr="00445504">
        <w:rPr>
          <w:rFonts w:ascii="Times New Roman" w:hAnsi="Times New Roman"/>
          <w:sz w:val="28"/>
          <w:szCs w:val="28"/>
          <w:lang w:val="uk-UA"/>
        </w:rPr>
        <w:t xml:space="preserve"> по </w:t>
      </w:r>
      <w:r w:rsidR="00132F8C">
        <w:rPr>
          <w:rFonts w:ascii="Times New Roman" w:hAnsi="Times New Roman"/>
          <w:sz w:val="28"/>
          <w:szCs w:val="28"/>
          <w:lang w:val="uk-UA"/>
        </w:rPr>
        <w:t>14 квітня</w:t>
      </w:r>
      <w:r w:rsidRPr="00445504">
        <w:rPr>
          <w:rFonts w:ascii="Times New Roman" w:hAnsi="Times New Roman"/>
          <w:sz w:val="28"/>
          <w:szCs w:val="28"/>
          <w:lang w:val="uk-UA"/>
        </w:rPr>
        <w:t xml:space="preserve"> 201</w:t>
      </w:r>
      <w:r>
        <w:rPr>
          <w:rFonts w:ascii="Times New Roman" w:hAnsi="Times New Roman"/>
          <w:sz w:val="28"/>
          <w:szCs w:val="28"/>
          <w:lang w:val="uk-UA"/>
        </w:rPr>
        <w:t>3</w:t>
      </w:r>
      <w:r w:rsidRPr="00445504">
        <w:rPr>
          <w:rFonts w:ascii="Times New Roman" w:hAnsi="Times New Roman"/>
          <w:sz w:val="28"/>
          <w:szCs w:val="28"/>
          <w:lang w:val="uk-UA"/>
        </w:rPr>
        <w:t xml:space="preserve"> року.</w:t>
      </w:r>
    </w:p>
    <w:p w:rsidR="00A25856" w:rsidRPr="00132F8C" w:rsidRDefault="00A25856" w:rsidP="00A25856">
      <w:pPr>
        <w:pStyle w:val="NormalText"/>
        <w:ind w:firstLine="360"/>
        <w:rPr>
          <w:rFonts w:ascii="Times New Roman" w:hAnsi="Times New Roman"/>
          <w:sz w:val="28"/>
          <w:szCs w:val="28"/>
          <w:lang w:val="uk-UA" w:eastAsia="en-US"/>
        </w:rPr>
      </w:pPr>
    </w:p>
    <w:p w:rsidR="00A25856" w:rsidRPr="0033222D" w:rsidRDefault="00A25856" w:rsidP="00A25856">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Тип відстеження</w:t>
      </w:r>
    </w:p>
    <w:p w:rsidR="00A25856" w:rsidRDefault="00A25856" w:rsidP="00A25856">
      <w:pPr>
        <w:pStyle w:val="NormalText"/>
        <w:ind w:firstLine="426"/>
        <w:rPr>
          <w:rFonts w:ascii="Times New Roman" w:hAnsi="Times New Roman"/>
          <w:sz w:val="28"/>
          <w:szCs w:val="28"/>
          <w:lang w:val="uk-UA"/>
        </w:rPr>
      </w:pPr>
      <w:r w:rsidRPr="0033222D">
        <w:rPr>
          <w:rFonts w:ascii="Times New Roman" w:hAnsi="Times New Roman"/>
          <w:sz w:val="28"/>
          <w:szCs w:val="28"/>
          <w:lang w:val="uk-UA"/>
        </w:rPr>
        <w:t>Базове відстеження.</w:t>
      </w:r>
    </w:p>
    <w:p w:rsidR="00A25856" w:rsidRDefault="00A25856" w:rsidP="00A25856">
      <w:pPr>
        <w:pStyle w:val="NormalText"/>
        <w:ind w:firstLine="600"/>
        <w:rPr>
          <w:rFonts w:ascii="Times New Roman" w:hAnsi="Times New Roman"/>
          <w:sz w:val="28"/>
          <w:szCs w:val="28"/>
          <w:lang w:val="uk-UA"/>
        </w:rPr>
      </w:pPr>
    </w:p>
    <w:p w:rsidR="00A25856" w:rsidRPr="0033222D" w:rsidRDefault="00A25856" w:rsidP="00A25856">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Метод одержання результатів відстеження</w:t>
      </w:r>
    </w:p>
    <w:p w:rsidR="00A25856" w:rsidRPr="004E5D52" w:rsidRDefault="00A25856" w:rsidP="00A25856">
      <w:pPr>
        <w:spacing w:after="0" w:line="240" w:lineRule="auto"/>
        <w:ind w:firstLine="426"/>
        <w:jc w:val="both"/>
        <w:rPr>
          <w:rFonts w:ascii="Times New Roman" w:hAnsi="Times New Roman"/>
          <w:color w:val="000000"/>
          <w:sz w:val="28"/>
          <w:szCs w:val="28"/>
        </w:rPr>
      </w:pPr>
      <w:r>
        <w:rPr>
          <w:rFonts w:ascii="Times New Roman" w:hAnsi="Times New Roman"/>
          <w:sz w:val="28"/>
          <w:szCs w:val="28"/>
        </w:rPr>
        <w:t xml:space="preserve">Аналіз кількості </w:t>
      </w:r>
      <w:r w:rsidR="000B3310">
        <w:rPr>
          <w:rFonts w:ascii="Times New Roman" w:hAnsi="Times New Roman"/>
          <w:sz w:val="28"/>
          <w:szCs w:val="28"/>
        </w:rPr>
        <w:t>та змісту порушен</w:t>
      </w:r>
      <w:r w:rsidR="002B02E1">
        <w:rPr>
          <w:rFonts w:ascii="Times New Roman" w:hAnsi="Times New Roman"/>
          <w:sz w:val="28"/>
          <w:szCs w:val="28"/>
        </w:rPr>
        <w:t>ь</w:t>
      </w:r>
      <w:r w:rsidR="000B3310">
        <w:rPr>
          <w:rFonts w:ascii="Times New Roman" w:hAnsi="Times New Roman"/>
          <w:sz w:val="28"/>
          <w:szCs w:val="28"/>
        </w:rPr>
        <w:t xml:space="preserve"> щодо подання звітності до Фонду</w:t>
      </w:r>
      <w:r>
        <w:rPr>
          <w:rFonts w:ascii="Times New Roman" w:hAnsi="Times New Roman"/>
          <w:sz w:val="28"/>
          <w:szCs w:val="28"/>
        </w:rPr>
        <w:t>.</w:t>
      </w:r>
    </w:p>
    <w:p w:rsidR="00A25856" w:rsidRPr="004E5D52" w:rsidRDefault="00A25856" w:rsidP="00A25856">
      <w:pPr>
        <w:pStyle w:val="NormalText"/>
        <w:ind w:firstLine="0"/>
        <w:rPr>
          <w:rFonts w:ascii="Times New Roman" w:hAnsi="Times New Roman"/>
          <w:sz w:val="28"/>
          <w:szCs w:val="28"/>
          <w:lang w:val="uk-UA"/>
        </w:rPr>
      </w:pPr>
    </w:p>
    <w:p w:rsidR="00A25856" w:rsidRPr="0033222D" w:rsidRDefault="00A25856" w:rsidP="00A25856">
      <w:pPr>
        <w:pStyle w:val="NormalText"/>
        <w:numPr>
          <w:ilvl w:val="0"/>
          <w:numId w:val="1"/>
        </w:numPr>
        <w:rPr>
          <w:rFonts w:ascii="Times New Roman" w:hAnsi="Times New Roman"/>
          <w:b/>
          <w:sz w:val="28"/>
          <w:szCs w:val="28"/>
          <w:lang w:val="uk-UA"/>
        </w:rPr>
      </w:pPr>
      <w:r w:rsidRPr="0033222D">
        <w:rPr>
          <w:rFonts w:ascii="Times New Roman" w:hAnsi="Times New Roman"/>
          <w:b/>
          <w:sz w:val="28"/>
          <w:szCs w:val="28"/>
          <w:lang w:val="uk-UA"/>
        </w:rPr>
        <w:t xml:space="preserve">Дані та припущення, на основі яких відстежувалися результативність, </w:t>
      </w:r>
      <w:r>
        <w:rPr>
          <w:rFonts w:ascii="Times New Roman" w:hAnsi="Times New Roman"/>
          <w:b/>
          <w:sz w:val="28"/>
          <w:szCs w:val="28"/>
          <w:lang w:val="uk-UA"/>
        </w:rPr>
        <w:t xml:space="preserve">а також способи одержання даних </w:t>
      </w:r>
    </w:p>
    <w:p w:rsidR="000B3310" w:rsidRDefault="00A25856" w:rsidP="000B3310">
      <w:pPr>
        <w:spacing w:before="120" w:after="120" w:line="240" w:lineRule="auto"/>
        <w:ind w:firstLine="708"/>
        <w:jc w:val="both"/>
        <w:rPr>
          <w:rFonts w:ascii="Times New Roman" w:hAnsi="Times New Roman"/>
          <w:bCs/>
          <w:sz w:val="28"/>
          <w:szCs w:val="28"/>
        </w:rPr>
      </w:pPr>
      <w:r w:rsidRPr="001F7B0C">
        <w:rPr>
          <w:rFonts w:ascii="Times New Roman" w:hAnsi="Times New Roman"/>
          <w:sz w:val="28"/>
          <w:szCs w:val="28"/>
        </w:rPr>
        <w:t xml:space="preserve">Показниками результативності </w:t>
      </w:r>
      <w:r w:rsidR="000B3310">
        <w:rPr>
          <w:rFonts w:ascii="Times New Roman" w:hAnsi="Times New Roman"/>
          <w:bCs/>
          <w:sz w:val="28"/>
          <w:szCs w:val="28"/>
        </w:rPr>
        <w:t>є:</w:t>
      </w:r>
    </w:p>
    <w:p w:rsidR="000B3310" w:rsidRDefault="000B3310" w:rsidP="000B3310">
      <w:pPr>
        <w:numPr>
          <w:ilvl w:val="0"/>
          <w:numId w:val="2"/>
        </w:numPr>
        <w:spacing w:before="120" w:after="120" w:line="240" w:lineRule="auto"/>
        <w:jc w:val="both"/>
        <w:rPr>
          <w:rFonts w:ascii="Times New Roman" w:hAnsi="Times New Roman"/>
          <w:sz w:val="28"/>
          <w:szCs w:val="28"/>
        </w:rPr>
      </w:pPr>
      <w:r>
        <w:rPr>
          <w:rFonts w:ascii="Times New Roman" w:hAnsi="Times New Roman"/>
          <w:bCs/>
          <w:sz w:val="28"/>
          <w:szCs w:val="28"/>
        </w:rPr>
        <w:t>отримання Фондом більш детальної інформації від учасників Фонду, у тому числі від проблемних банків, що сприятиме виконанню Фондом своїх функцій, у тому числі щодо виведення неплатоспроможних банків з ринку;</w:t>
      </w:r>
    </w:p>
    <w:p w:rsidR="000B3310" w:rsidRDefault="000B3310" w:rsidP="000B3310">
      <w:pPr>
        <w:numPr>
          <w:ilvl w:val="0"/>
          <w:numId w:val="2"/>
        </w:numPr>
        <w:spacing w:before="120" w:after="120" w:line="240" w:lineRule="auto"/>
        <w:jc w:val="both"/>
        <w:rPr>
          <w:rFonts w:ascii="Times New Roman" w:hAnsi="Times New Roman"/>
          <w:sz w:val="28"/>
          <w:szCs w:val="28"/>
        </w:rPr>
      </w:pPr>
      <w:r>
        <w:rPr>
          <w:rFonts w:ascii="Times New Roman" w:hAnsi="Times New Roman"/>
          <w:bCs/>
          <w:sz w:val="28"/>
          <w:szCs w:val="28"/>
        </w:rPr>
        <w:t>надання Фонду можливості прогнозування своїх можливих витрат на надання позики неплатоспроможного банку для здійснення виплат коштів за вкладами, передбаченими статтею 36 Закону України «Про систему гарантування вкладів фізичних осіб» протягом дії тимчасової адміністрації;</w:t>
      </w:r>
    </w:p>
    <w:p w:rsidR="000B3310" w:rsidRDefault="000B3310" w:rsidP="000B3310">
      <w:pPr>
        <w:numPr>
          <w:ilvl w:val="0"/>
          <w:numId w:val="2"/>
        </w:numPr>
        <w:spacing w:before="120" w:after="120" w:line="240" w:lineRule="auto"/>
        <w:jc w:val="both"/>
        <w:rPr>
          <w:rFonts w:ascii="Times New Roman" w:hAnsi="Times New Roman"/>
          <w:sz w:val="28"/>
          <w:szCs w:val="28"/>
        </w:rPr>
      </w:pPr>
      <w:r>
        <w:rPr>
          <w:rFonts w:ascii="Times New Roman" w:hAnsi="Times New Roman"/>
          <w:bCs/>
          <w:sz w:val="28"/>
          <w:szCs w:val="28"/>
        </w:rPr>
        <w:t>отримання Фондом якісно складеної звітності з достовірними даними.</w:t>
      </w:r>
    </w:p>
    <w:p w:rsidR="00A25856" w:rsidRDefault="00A25856" w:rsidP="00A25856">
      <w:pPr>
        <w:pStyle w:val="NormalText"/>
        <w:ind w:firstLine="426"/>
        <w:rPr>
          <w:rFonts w:ascii="Times New Roman" w:hAnsi="Times New Roman"/>
          <w:sz w:val="28"/>
          <w:szCs w:val="28"/>
          <w:lang w:val="uk-UA"/>
        </w:rPr>
      </w:pPr>
    </w:p>
    <w:p w:rsidR="00A25856" w:rsidRPr="004E5D52" w:rsidRDefault="00A25856" w:rsidP="00A25856">
      <w:pPr>
        <w:pStyle w:val="NormalText"/>
        <w:numPr>
          <w:ilvl w:val="0"/>
          <w:numId w:val="1"/>
        </w:numPr>
        <w:tabs>
          <w:tab w:val="clear" w:pos="360"/>
          <w:tab w:val="num" w:pos="0"/>
        </w:tabs>
        <w:ind w:left="0" w:firstLine="0"/>
        <w:rPr>
          <w:rFonts w:ascii="Times New Roman" w:hAnsi="Times New Roman"/>
          <w:b/>
          <w:sz w:val="28"/>
          <w:szCs w:val="28"/>
          <w:lang w:val="uk-UA"/>
        </w:rPr>
      </w:pPr>
      <w:r w:rsidRPr="001F7B0C">
        <w:rPr>
          <w:rFonts w:ascii="Times New Roman" w:hAnsi="Times New Roman"/>
          <w:b/>
          <w:sz w:val="28"/>
          <w:szCs w:val="28"/>
          <w:lang w:val="uk-UA"/>
        </w:rPr>
        <w:t>Кількісні та якісні значення</w:t>
      </w:r>
      <w:r w:rsidRPr="00C043DF">
        <w:rPr>
          <w:rFonts w:ascii="Times New Roman" w:hAnsi="Times New Roman"/>
          <w:b/>
          <w:sz w:val="28"/>
          <w:szCs w:val="28"/>
          <w:lang w:val="uk-UA"/>
        </w:rPr>
        <w:t xml:space="preserve"> показників результативності</w:t>
      </w:r>
    </w:p>
    <w:p w:rsidR="000B3310" w:rsidRDefault="000B3310" w:rsidP="000B3310">
      <w:pPr>
        <w:spacing w:before="120" w:after="12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До кількісних значень показників результативності відносяться зменшення кількості актів про порушення вимог щодо подання складання звітності. Крім того, затверджений регуляторний акт сприяє отриманню Фондом достовірних даних, оскільки учасникам Фонду буде надано більше часу для підготовки звітності шляхом продовження строків її подання. </w:t>
      </w:r>
    </w:p>
    <w:p w:rsidR="000B3310" w:rsidRDefault="000B3310" w:rsidP="00A25856">
      <w:pPr>
        <w:spacing w:after="0" w:line="240" w:lineRule="auto"/>
        <w:ind w:firstLine="708"/>
        <w:jc w:val="both"/>
        <w:rPr>
          <w:rFonts w:ascii="Times New Roman" w:hAnsi="Times New Roman"/>
          <w:sz w:val="28"/>
          <w:szCs w:val="28"/>
        </w:rPr>
      </w:pPr>
      <w:r>
        <w:rPr>
          <w:rFonts w:ascii="Times New Roman" w:hAnsi="Times New Roman"/>
          <w:sz w:val="28"/>
          <w:szCs w:val="28"/>
        </w:rPr>
        <w:t>До якісних значень показників результативності відносяться подання більш деталізованої інформації щодо видів та строків вкладів в учасника Фонду, необхідної для виконання Фондом своїх функцій в системі гарантування вкладів фізичних осіб, у тому числі пов’язаних з виведенням неплатоспроможних банків з ринку</w:t>
      </w:r>
    </w:p>
    <w:p w:rsidR="002C3408" w:rsidRDefault="002C3408" w:rsidP="002C3408">
      <w:pPr>
        <w:spacing w:before="120" w:after="120" w:line="240" w:lineRule="auto"/>
        <w:ind w:firstLine="360"/>
        <w:jc w:val="both"/>
        <w:rPr>
          <w:rFonts w:ascii="Times New Roman" w:hAnsi="Times New Roman"/>
          <w:sz w:val="28"/>
          <w:szCs w:val="28"/>
        </w:rPr>
      </w:pPr>
      <w:r>
        <w:rPr>
          <w:rFonts w:ascii="Times New Roman" w:hAnsi="Times New Roman"/>
          <w:bCs/>
          <w:sz w:val="28"/>
          <w:szCs w:val="28"/>
        </w:rPr>
        <w:t>Кількісні показники результативності будуть аналізуватись протягом наступних відстежень результативності регуляторного акту, після напрацювання відповідної статистичної бази.</w:t>
      </w:r>
    </w:p>
    <w:p w:rsidR="00A25856" w:rsidRDefault="00A25856" w:rsidP="00A25856">
      <w:pPr>
        <w:pStyle w:val="a5"/>
        <w:spacing w:before="0" w:beforeAutospacing="0" w:after="0" w:afterAutospacing="0"/>
        <w:ind w:firstLine="360"/>
        <w:jc w:val="both"/>
        <w:rPr>
          <w:sz w:val="28"/>
          <w:szCs w:val="28"/>
        </w:rPr>
      </w:pPr>
    </w:p>
    <w:p w:rsidR="00A25856" w:rsidRDefault="00A25856" w:rsidP="00A25856">
      <w:pPr>
        <w:pStyle w:val="NormalText"/>
        <w:numPr>
          <w:ilvl w:val="0"/>
          <w:numId w:val="1"/>
        </w:numPr>
        <w:rPr>
          <w:rFonts w:ascii="Times New Roman" w:hAnsi="Times New Roman"/>
          <w:b/>
          <w:sz w:val="28"/>
          <w:szCs w:val="28"/>
          <w:lang w:val="uk-UA"/>
        </w:rPr>
      </w:pPr>
      <w:r w:rsidRPr="00F870E2">
        <w:rPr>
          <w:rFonts w:ascii="Times New Roman" w:hAnsi="Times New Roman"/>
          <w:b/>
          <w:sz w:val="28"/>
          <w:szCs w:val="28"/>
          <w:lang w:val="uk-UA"/>
        </w:rPr>
        <w:t>Оцінка результативності реалізації регуляторного акта та ступеня досягнення визначених цілей</w:t>
      </w:r>
    </w:p>
    <w:p w:rsidR="00A25856" w:rsidRDefault="00A25856" w:rsidP="00A25856">
      <w:pPr>
        <w:pStyle w:val="NormalText"/>
        <w:rPr>
          <w:rFonts w:ascii="Times New Roman" w:hAnsi="Times New Roman"/>
          <w:sz w:val="28"/>
          <w:szCs w:val="28"/>
          <w:lang w:val="uk-UA" w:eastAsia="uk-UA"/>
        </w:rPr>
      </w:pPr>
    </w:p>
    <w:p w:rsidR="00A25856" w:rsidRPr="009E4B60" w:rsidRDefault="00A25856" w:rsidP="00A25856">
      <w:pPr>
        <w:pStyle w:val="NormalText"/>
        <w:rPr>
          <w:rFonts w:ascii="Times New Roman" w:hAnsi="Times New Roman"/>
          <w:sz w:val="28"/>
          <w:szCs w:val="28"/>
          <w:lang w:val="uk-UA" w:eastAsia="uk-UA"/>
        </w:rPr>
      </w:pPr>
      <w:r w:rsidRPr="00792E4F">
        <w:rPr>
          <w:rFonts w:ascii="Times New Roman" w:hAnsi="Times New Roman"/>
          <w:sz w:val="28"/>
          <w:szCs w:val="28"/>
          <w:lang w:val="uk-UA" w:eastAsia="uk-UA"/>
        </w:rPr>
        <w:t>Шля</w:t>
      </w:r>
      <w:r>
        <w:rPr>
          <w:rFonts w:ascii="Times New Roman" w:hAnsi="Times New Roman"/>
          <w:sz w:val="28"/>
          <w:szCs w:val="28"/>
          <w:lang w:val="uk-UA" w:eastAsia="uk-UA"/>
        </w:rPr>
        <w:t>хом запровадження цього регуляторного акта досягнення визначених цілей є можливим. Остаточний висновок щодо його результативності можна буде зробити після проведення повторного відстеження через</w:t>
      </w:r>
      <w:r w:rsidR="002C3408">
        <w:rPr>
          <w:rFonts w:ascii="Times New Roman" w:hAnsi="Times New Roman"/>
          <w:sz w:val="28"/>
          <w:szCs w:val="28"/>
          <w:lang w:val="uk-UA" w:eastAsia="uk-UA"/>
        </w:rPr>
        <w:t xml:space="preserve"> два</w:t>
      </w:r>
      <w:r>
        <w:rPr>
          <w:rFonts w:ascii="Times New Roman" w:hAnsi="Times New Roman"/>
          <w:sz w:val="28"/>
          <w:szCs w:val="28"/>
          <w:lang w:val="uk-UA" w:eastAsia="uk-UA"/>
        </w:rPr>
        <w:t xml:space="preserve"> р</w:t>
      </w:r>
      <w:r w:rsidR="002C3408">
        <w:rPr>
          <w:rFonts w:ascii="Times New Roman" w:hAnsi="Times New Roman"/>
          <w:sz w:val="28"/>
          <w:szCs w:val="28"/>
          <w:lang w:val="uk-UA" w:eastAsia="uk-UA"/>
        </w:rPr>
        <w:t>оки</w:t>
      </w:r>
      <w:r>
        <w:rPr>
          <w:rFonts w:ascii="Times New Roman" w:hAnsi="Times New Roman"/>
          <w:sz w:val="28"/>
          <w:szCs w:val="28"/>
          <w:lang w:val="uk-UA" w:eastAsia="uk-UA"/>
        </w:rPr>
        <w:t xml:space="preserve"> після набрання чинності на підставі аналізу наведених показників.</w:t>
      </w:r>
    </w:p>
    <w:p w:rsidR="00A25856" w:rsidRDefault="00A25856" w:rsidP="00A25856">
      <w:pPr>
        <w:spacing w:after="0" w:line="240" w:lineRule="auto"/>
        <w:ind w:firstLine="567"/>
        <w:jc w:val="both"/>
        <w:rPr>
          <w:rFonts w:ascii="Times New Roman" w:hAnsi="Times New Roman"/>
          <w:sz w:val="28"/>
          <w:szCs w:val="28"/>
        </w:rPr>
      </w:pPr>
      <w:r w:rsidRPr="00A931AB">
        <w:rPr>
          <w:rFonts w:ascii="Times New Roman" w:hAnsi="Times New Roman"/>
          <w:sz w:val="28"/>
          <w:szCs w:val="28"/>
        </w:rPr>
        <w:t xml:space="preserve">Перешкод для реалізації норм цього регуляторного акту немає.Негативних </w:t>
      </w:r>
      <w:r>
        <w:rPr>
          <w:rFonts w:ascii="Times New Roman" w:hAnsi="Times New Roman"/>
          <w:sz w:val="28"/>
          <w:szCs w:val="28"/>
        </w:rPr>
        <w:t>наслідків</w:t>
      </w:r>
      <w:r w:rsidRPr="00A931AB">
        <w:rPr>
          <w:rFonts w:ascii="Times New Roman" w:hAnsi="Times New Roman"/>
          <w:sz w:val="28"/>
          <w:szCs w:val="28"/>
        </w:rPr>
        <w:t xml:space="preserve"> прийняття регуляторного акта не очікується.</w:t>
      </w:r>
    </w:p>
    <w:p w:rsidR="00A25856" w:rsidRDefault="00A25856" w:rsidP="00A25856">
      <w:pPr>
        <w:spacing w:after="0" w:line="240" w:lineRule="auto"/>
        <w:ind w:firstLine="709"/>
        <w:jc w:val="both"/>
        <w:rPr>
          <w:rFonts w:ascii="Times New Roman" w:hAnsi="Times New Roman"/>
          <w:sz w:val="28"/>
          <w:szCs w:val="28"/>
        </w:rPr>
      </w:pPr>
    </w:p>
    <w:p w:rsidR="00A25856" w:rsidRDefault="00A25856" w:rsidP="00A25856">
      <w:pPr>
        <w:spacing w:after="0" w:line="240" w:lineRule="auto"/>
        <w:ind w:firstLine="709"/>
        <w:jc w:val="both"/>
        <w:rPr>
          <w:rFonts w:ascii="Times New Roman" w:hAnsi="Times New Roman"/>
          <w:sz w:val="28"/>
          <w:szCs w:val="28"/>
        </w:rPr>
      </w:pPr>
    </w:p>
    <w:p w:rsidR="00A25856" w:rsidRPr="00D7000C" w:rsidRDefault="00A25856" w:rsidP="00A25856">
      <w:pPr>
        <w:spacing w:after="0" w:line="240" w:lineRule="auto"/>
        <w:jc w:val="both"/>
        <w:rPr>
          <w:rFonts w:ascii="Times New Roman" w:hAnsi="Times New Roman"/>
          <w:b/>
          <w:sz w:val="28"/>
          <w:szCs w:val="28"/>
        </w:rPr>
      </w:pPr>
      <w:r w:rsidRPr="00D7000C">
        <w:rPr>
          <w:rFonts w:ascii="Times New Roman" w:hAnsi="Times New Roman"/>
          <w:b/>
          <w:sz w:val="28"/>
          <w:szCs w:val="28"/>
        </w:rPr>
        <w:t>Директор-розпорядник</w:t>
      </w:r>
      <w:r w:rsidRPr="00D7000C">
        <w:rPr>
          <w:rFonts w:ascii="Times New Roman" w:hAnsi="Times New Roman"/>
          <w:b/>
          <w:sz w:val="28"/>
          <w:szCs w:val="28"/>
        </w:rPr>
        <w:tab/>
      </w:r>
      <w:r w:rsidRPr="00D7000C">
        <w:rPr>
          <w:rFonts w:ascii="Times New Roman" w:hAnsi="Times New Roman"/>
          <w:b/>
          <w:sz w:val="28"/>
          <w:szCs w:val="28"/>
        </w:rPr>
        <w:tab/>
      </w:r>
      <w:r w:rsidRPr="00D7000C">
        <w:rPr>
          <w:rFonts w:ascii="Times New Roman" w:hAnsi="Times New Roman"/>
          <w:b/>
          <w:sz w:val="28"/>
          <w:szCs w:val="28"/>
        </w:rPr>
        <w:tab/>
      </w:r>
      <w:r w:rsidRPr="00D7000C">
        <w:rPr>
          <w:rFonts w:ascii="Times New Roman" w:hAnsi="Times New Roman"/>
          <w:b/>
          <w:sz w:val="28"/>
          <w:szCs w:val="28"/>
        </w:rPr>
        <w:tab/>
      </w:r>
      <w:r w:rsidRPr="00D7000C">
        <w:rPr>
          <w:rFonts w:ascii="Times New Roman" w:hAnsi="Times New Roman"/>
          <w:b/>
          <w:sz w:val="28"/>
          <w:szCs w:val="28"/>
        </w:rPr>
        <w:tab/>
      </w:r>
      <w:r w:rsidRPr="00D7000C">
        <w:rPr>
          <w:rFonts w:ascii="Times New Roman" w:hAnsi="Times New Roman"/>
          <w:b/>
          <w:sz w:val="28"/>
          <w:szCs w:val="28"/>
        </w:rPr>
        <w:tab/>
      </w:r>
      <w:r w:rsidRPr="00D7000C">
        <w:rPr>
          <w:rFonts w:ascii="Times New Roman" w:hAnsi="Times New Roman"/>
          <w:b/>
          <w:sz w:val="28"/>
          <w:szCs w:val="28"/>
        </w:rPr>
        <w:tab/>
        <w:t>О.І.Шарова</w:t>
      </w:r>
    </w:p>
    <w:p w:rsidR="00A25856" w:rsidRDefault="00A25856" w:rsidP="00A25856">
      <w:pPr>
        <w:spacing w:after="0" w:line="240" w:lineRule="auto"/>
        <w:ind w:firstLine="709"/>
        <w:jc w:val="both"/>
        <w:rPr>
          <w:rFonts w:ascii="Times New Roman" w:hAnsi="Times New Roman"/>
          <w:sz w:val="28"/>
          <w:szCs w:val="28"/>
        </w:rPr>
      </w:pPr>
    </w:p>
    <w:p w:rsidR="00A25856" w:rsidRPr="00364582" w:rsidRDefault="00A25856" w:rsidP="00A25856">
      <w:pPr>
        <w:spacing w:after="0" w:line="240" w:lineRule="auto"/>
        <w:ind w:firstLine="709"/>
        <w:jc w:val="both"/>
        <w:rPr>
          <w:rFonts w:ascii="Times New Roman" w:hAnsi="Times New Roman"/>
          <w:sz w:val="28"/>
          <w:szCs w:val="28"/>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tbl>
      <w:tblPr>
        <w:tblW w:w="10314" w:type="dxa"/>
        <w:tblLook w:val="04A0"/>
      </w:tblPr>
      <w:tblGrid>
        <w:gridCol w:w="3267"/>
        <w:gridCol w:w="2228"/>
        <w:gridCol w:w="2977"/>
        <w:gridCol w:w="1842"/>
      </w:tblGrid>
      <w:tr w:rsidR="003F0F0B" w:rsidRPr="00F93E34" w:rsidTr="008B5A97">
        <w:trPr>
          <w:trHeight w:val="592"/>
        </w:trPr>
        <w:tc>
          <w:tcPr>
            <w:tcW w:w="3267" w:type="dxa"/>
            <w:tcBorders>
              <w:top w:val="single" w:sz="4" w:space="0" w:color="auto"/>
              <w:left w:val="single" w:sz="4" w:space="0" w:color="auto"/>
              <w:bottom w:val="single" w:sz="4" w:space="0" w:color="auto"/>
              <w:right w:val="single" w:sz="4" w:space="0" w:color="auto"/>
            </w:tcBorders>
            <w:vAlign w:val="bottom"/>
            <w:hideMark/>
          </w:tcPr>
          <w:p w:rsidR="003F0F0B" w:rsidRPr="00F93E34" w:rsidRDefault="003F0F0B" w:rsidP="008B5A97">
            <w:pPr>
              <w:spacing w:after="0" w:line="240" w:lineRule="auto"/>
              <w:jc w:val="center"/>
              <w:rPr>
                <w:rFonts w:ascii="Times New Roman" w:hAnsi="Times New Roman"/>
                <w:b/>
                <w:bCs/>
                <w:color w:val="000000"/>
                <w:sz w:val="24"/>
                <w:szCs w:val="24"/>
              </w:rPr>
            </w:pPr>
            <w:r w:rsidRPr="00F93E34">
              <w:rPr>
                <w:rFonts w:ascii="Times New Roman" w:hAnsi="Times New Roman"/>
                <w:b/>
                <w:bCs/>
                <w:color w:val="000000"/>
                <w:sz w:val="24"/>
                <w:szCs w:val="24"/>
              </w:rPr>
              <w:lastRenderedPageBreak/>
              <w:t>Підрозділ/</w:t>
            </w:r>
          </w:p>
          <w:p w:rsidR="003F0F0B" w:rsidRPr="00F93E34" w:rsidRDefault="003F0F0B" w:rsidP="008B5A97">
            <w:pPr>
              <w:spacing w:after="0" w:line="240" w:lineRule="auto"/>
              <w:jc w:val="center"/>
              <w:rPr>
                <w:rFonts w:ascii="Times New Roman" w:hAnsi="Times New Roman"/>
                <w:b/>
                <w:bCs/>
                <w:color w:val="000000"/>
                <w:sz w:val="24"/>
                <w:szCs w:val="24"/>
              </w:rPr>
            </w:pPr>
            <w:r w:rsidRPr="00F93E34">
              <w:rPr>
                <w:rFonts w:ascii="Times New Roman" w:hAnsi="Times New Roman"/>
                <w:b/>
                <w:bCs/>
                <w:color w:val="000000"/>
                <w:sz w:val="24"/>
                <w:szCs w:val="24"/>
              </w:rPr>
              <w:t>посадова особа</w:t>
            </w:r>
          </w:p>
        </w:tc>
        <w:tc>
          <w:tcPr>
            <w:tcW w:w="2228" w:type="dxa"/>
            <w:tcBorders>
              <w:top w:val="single" w:sz="4" w:space="0" w:color="auto"/>
              <w:left w:val="nil"/>
              <w:bottom w:val="single" w:sz="4" w:space="0" w:color="auto"/>
              <w:right w:val="single" w:sz="4" w:space="0" w:color="auto"/>
            </w:tcBorders>
            <w:noWrap/>
            <w:vAlign w:val="bottom"/>
            <w:hideMark/>
          </w:tcPr>
          <w:p w:rsidR="003F0F0B" w:rsidRPr="00F93E34" w:rsidRDefault="003F0F0B" w:rsidP="008B5A97">
            <w:pPr>
              <w:spacing w:after="0" w:line="240" w:lineRule="auto"/>
              <w:jc w:val="center"/>
              <w:rPr>
                <w:rFonts w:ascii="Times New Roman" w:hAnsi="Times New Roman"/>
                <w:b/>
                <w:bCs/>
                <w:color w:val="000000"/>
                <w:sz w:val="24"/>
                <w:szCs w:val="24"/>
              </w:rPr>
            </w:pPr>
            <w:r w:rsidRPr="00F93E34">
              <w:rPr>
                <w:rFonts w:ascii="Times New Roman" w:hAnsi="Times New Roman"/>
                <w:b/>
                <w:bCs/>
                <w:color w:val="000000"/>
                <w:sz w:val="24"/>
                <w:szCs w:val="24"/>
              </w:rPr>
              <w:t>П.І.Б.</w:t>
            </w:r>
          </w:p>
        </w:tc>
        <w:tc>
          <w:tcPr>
            <w:tcW w:w="2977" w:type="dxa"/>
            <w:tcBorders>
              <w:top w:val="single" w:sz="4" w:space="0" w:color="auto"/>
              <w:left w:val="nil"/>
              <w:bottom w:val="single" w:sz="4" w:space="0" w:color="auto"/>
              <w:right w:val="single" w:sz="4" w:space="0" w:color="auto"/>
            </w:tcBorders>
            <w:noWrap/>
            <w:vAlign w:val="bottom"/>
            <w:hideMark/>
          </w:tcPr>
          <w:p w:rsidR="003F0F0B" w:rsidRPr="00F93E34" w:rsidRDefault="003F0F0B" w:rsidP="008B5A97">
            <w:pPr>
              <w:spacing w:after="0" w:line="240" w:lineRule="auto"/>
              <w:jc w:val="center"/>
              <w:rPr>
                <w:rFonts w:ascii="Times New Roman" w:hAnsi="Times New Roman"/>
                <w:b/>
                <w:bCs/>
                <w:color w:val="000000"/>
                <w:sz w:val="24"/>
                <w:szCs w:val="24"/>
              </w:rPr>
            </w:pPr>
            <w:r w:rsidRPr="00F93E34">
              <w:rPr>
                <w:rFonts w:ascii="Times New Roman" w:hAnsi="Times New Roman"/>
                <w:b/>
                <w:bCs/>
                <w:color w:val="000000"/>
                <w:sz w:val="24"/>
                <w:szCs w:val="24"/>
              </w:rPr>
              <w:t>Підпис</w:t>
            </w:r>
          </w:p>
        </w:tc>
        <w:tc>
          <w:tcPr>
            <w:tcW w:w="1842" w:type="dxa"/>
            <w:tcBorders>
              <w:top w:val="single" w:sz="4" w:space="0" w:color="auto"/>
              <w:left w:val="nil"/>
              <w:bottom w:val="single" w:sz="4" w:space="0" w:color="auto"/>
              <w:right w:val="single" w:sz="4" w:space="0" w:color="auto"/>
            </w:tcBorders>
            <w:noWrap/>
            <w:vAlign w:val="bottom"/>
            <w:hideMark/>
          </w:tcPr>
          <w:p w:rsidR="003F0F0B" w:rsidRPr="00F93E34" w:rsidRDefault="003F0F0B" w:rsidP="008B5A97">
            <w:pPr>
              <w:spacing w:after="0" w:line="240" w:lineRule="auto"/>
              <w:jc w:val="center"/>
              <w:rPr>
                <w:rFonts w:ascii="Times New Roman" w:hAnsi="Times New Roman"/>
                <w:b/>
                <w:bCs/>
                <w:color w:val="000000"/>
                <w:sz w:val="24"/>
                <w:szCs w:val="24"/>
              </w:rPr>
            </w:pPr>
            <w:r w:rsidRPr="00F93E34">
              <w:rPr>
                <w:rFonts w:ascii="Times New Roman" w:hAnsi="Times New Roman"/>
                <w:b/>
                <w:bCs/>
                <w:color w:val="000000"/>
                <w:sz w:val="24"/>
                <w:szCs w:val="24"/>
              </w:rPr>
              <w:t>Дата</w:t>
            </w:r>
          </w:p>
        </w:tc>
      </w:tr>
      <w:tr w:rsidR="003F0F0B" w:rsidRPr="00F93E34" w:rsidTr="008B5A97">
        <w:trPr>
          <w:trHeight w:val="592"/>
        </w:trPr>
        <w:tc>
          <w:tcPr>
            <w:tcW w:w="3267" w:type="dxa"/>
            <w:tcBorders>
              <w:top w:val="single" w:sz="4" w:space="0" w:color="auto"/>
              <w:left w:val="single" w:sz="4" w:space="0" w:color="auto"/>
              <w:bottom w:val="single" w:sz="4" w:space="0" w:color="auto"/>
              <w:right w:val="single" w:sz="4" w:space="0" w:color="auto"/>
            </w:tcBorders>
            <w:vAlign w:val="bottom"/>
            <w:hideMark/>
          </w:tcPr>
          <w:p w:rsidR="003F0F0B" w:rsidRDefault="003F0F0B" w:rsidP="008B5A97">
            <w:pPr>
              <w:spacing w:after="0" w:line="240" w:lineRule="auto"/>
              <w:rPr>
                <w:rFonts w:ascii="Times New Roman" w:hAnsi="Times New Roman"/>
                <w:sz w:val="24"/>
                <w:szCs w:val="24"/>
              </w:rPr>
            </w:pPr>
            <w:r>
              <w:rPr>
                <w:rFonts w:ascii="Times New Roman" w:hAnsi="Times New Roman"/>
                <w:sz w:val="24"/>
                <w:szCs w:val="24"/>
              </w:rPr>
              <w:t>Заступник директора-розпорядника Фонду</w:t>
            </w:r>
          </w:p>
        </w:tc>
        <w:tc>
          <w:tcPr>
            <w:tcW w:w="2228" w:type="dxa"/>
            <w:tcBorders>
              <w:top w:val="single" w:sz="4" w:space="0" w:color="auto"/>
              <w:left w:val="nil"/>
              <w:bottom w:val="single" w:sz="4" w:space="0" w:color="auto"/>
              <w:right w:val="single" w:sz="4" w:space="0" w:color="auto"/>
            </w:tcBorders>
            <w:noWrap/>
            <w:vAlign w:val="bottom"/>
            <w:hideMark/>
          </w:tcPr>
          <w:p w:rsidR="003F0F0B" w:rsidRDefault="003F0F0B" w:rsidP="008B5A97">
            <w:pPr>
              <w:spacing w:after="0" w:line="240" w:lineRule="auto"/>
              <w:rPr>
                <w:rFonts w:ascii="Times New Roman" w:hAnsi="Times New Roman"/>
                <w:sz w:val="24"/>
                <w:szCs w:val="24"/>
              </w:rPr>
            </w:pPr>
            <w:proofErr w:type="spellStart"/>
            <w:r>
              <w:rPr>
                <w:rFonts w:ascii="Times New Roman" w:hAnsi="Times New Roman"/>
                <w:sz w:val="24"/>
                <w:szCs w:val="24"/>
              </w:rPr>
              <w:t>Оленчик</w:t>
            </w:r>
            <w:proofErr w:type="spellEnd"/>
            <w:r>
              <w:rPr>
                <w:rFonts w:ascii="Times New Roman" w:hAnsi="Times New Roman"/>
                <w:sz w:val="24"/>
                <w:szCs w:val="24"/>
              </w:rPr>
              <w:t xml:space="preserve"> А.Я.</w:t>
            </w:r>
          </w:p>
        </w:tc>
        <w:tc>
          <w:tcPr>
            <w:tcW w:w="2977" w:type="dxa"/>
            <w:tcBorders>
              <w:top w:val="single" w:sz="4" w:space="0" w:color="auto"/>
              <w:left w:val="nil"/>
              <w:bottom w:val="single" w:sz="4" w:space="0" w:color="auto"/>
              <w:right w:val="single" w:sz="4" w:space="0" w:color="auto"/>
            </w:tcBorders>
            <w:noWrap/>
            <w:vAlign w:val="bottom"/>
          </w:tcPr>
          <w:p w:rsidR="003F0F0B" w:rsidRPr="00F93E34" w:rsidRDefault="003F0F0B" w:rsidP="008B5A97">
            <w:pPr>
              <w:spacing w:after="0" w:line="240" w:lineRule="auto"/>
              <w:rPr>
                <w:rFonts w:ascii="Times New Roman" w:eastAsia="Calibri" w:hAnsi="Times New Roman"/>
                <w:sz w:val="24"/>
                <w:szCs w:val="24"/>
                <w:lang w:eastAsia="en-US"/>
              </w:rPr>
            </w:pPr>
          </w:p>
        </w:tc>
        <w:tc>
          <w:tcPr>
            <w:tcW w:w="1842" w:type="dxa"/>
            <w:tcBorders>
              <w:top w:val="single" w:sz="4" w:space="0" w:color="auto"/>
              <w:left w:val="nil"/>
              <w:bottom w:val="single" w:sz="4" w:space="0" w:color="auto"/>
              <w:right w:val="single" w:sz="4" w:space="0" w:color="auto"/>
            </w:tcBorders>
            <w:noWrap/>
            <w:vAlign w:val="bottom"/>
          </w:tcPr>
          <w:p w:rsidR="003F0F0B" w:rsidRPr="00F93E34" w:rsidRDefault="003F0F0B" w:rsidP="003F0F0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r>
              <w:rPr>
                <w:rFonts w:ascii="Times New Roman" w:eastAsia="Calibri" w:hAnsi="Times New Roman"/>
                <w:sz w:val="24"/>
                <w:szCs w:val="24"/>
                <w:lang w:eastAsia="en-US"/>
              </w:rPr>
              <w:t>4</w:t>
            </w:r>
            <w:r>
              <w:rPr>
                <w:rFonts w:ascii="Times New Roman" w:eastAsia="Calibri" w:hAnsi="Times New Roman"/>
                <w:sz w:val="24"/>
                <w:szCs w:val="24"/>
                <w:lang w:eastAsia="en-US"/>
              </w:rPr>
              <w:t>.04.2013</w:t>
            </w:r>
          </w:p>
        </w:tc>
      </w:tr>
      <w:tr w:rsidR="003F0F0B" w:rsidRPr="00F93E34" w:rsidTr="008B5A97">
        <w:trPr>
          <w:trHeight w:val="592"/>
        </w:trPr>
        <w:tc>
          <w:tcPr>
            <w:tcW w:w="3267" w:type="dxa"/>
            <w:tcBorders>
              <w:top w:val="single" w:sz="4" w:space="0" w:color="auto"/>
              <w:left w:val="single" w:sz="4" w:space="0" w:color="auto"/>
              <w:bottom w:val="single" w:sz="4" w:space="0" w:color="auto"/>
              <w:right w:val="single" w:sz="4" w:space="0" w:color="auto"/>
            </w:tcBorders>
            <w:vAlign w:val="bottom"/>
            <w:hideMark/>
          </w:tcPr>
          <w:p w:rsidR="003F0F0B" w:rsidRPr="00F93E34" w:rsidRDefault="003F0F0B" w:rsidP="008B5A97">
            <w:pPr>
              <w:spacing w:after="0" w:line="240" w:lineRule="auto"/>
              <w:rPr>
                <w:rFonts w:ascii="Times New Roman" w:eastAsia="Calibri" w:hAnsi="Times New Roman"/>
                <w:sz w:val="24"/>
                <w:szCs w:val="24"/>
                <w:lang w:eastAsia="en-US"/>
              </w:rPr>
            </w:pPr>
            <w:r w:rsidRPr="00F93E34">
              <w:rPr>
                <w:rFonts w:ascii="Times New Roman" w:hAnsi="Times New Roman"/>
                <w:sz w:val="24"/>
                <w:szCs w:val="24"/>
              </w:rPr>
              <w:t>Відділ стратегії та нормативно-методологічного забезпечення/начальник відділу</w:t>
            </w:r>
          </w:p>
        </w:tc>
        <w:tc>
          <w:tcPr>
            <w:tcW w:w="2228" w:type="dxa"/>
            <w:tcBorders>
              <w:top w:val="single" w:sz="4" w:space="0" w:color="auto"/>
              <w:left w:val="nil"/>
              <w:bottom w:val="single" w:sz="4" w:space="0" w:color="auto"/>
              <w:right w:val="single" w:sz="4" w:space="0" w:color="auto"/>
            </w:tcBorders>
            <w:noWrap/>
            <w:vAlign w:val="bottom"/>
            <w:hideMark/>
          </w:tcPr>
          <w:p w:rsidR="003F0F0B" w:rsidRPr="00F93E34" w:rsidRDefault="003F0F0B" w:rsidP="008B5A97">
            <w:pPr>
              <w:spacing w:after="0" w:line="240" w:lineRule="auto"/>
              <w:rPr>
                <w:rFonts w:ascii="Times New Roman" w:eastAsia="Calibri" w:hAnsi="Times New Roman"/>
                <w:sz w:val="24"/>
                <w:szCs w:val="24"/>
                <w:lang w:eastAsia="en-US"/>
              </w:rPr>
            </w:pPr>
            <w:r w:rsidRPr="00F93E34">
              <w:rPr>
                <w:rFonts w:ascii="Times New Roman" w:hAnsi="Times New Roman"/>
                <w:sz w:val="24"/>
                <w:szCs w:val="24"/>
              </w:rPr>
              <w:t>Лапаєва Н.О.</w:t>
            </w:r>
          </w:p>
        </w:tc>
        <w:tc>
          <w:tcPr>
            <w:tcW w:w="2977" w:type="dxa"/>
            <w:tcBorders>
              <w:top w:val="single" w:sz="4" w:space="0" w:color="auto"/>
              <w:left w:val="nil"/>
              <w:bottom w:val="single" w:sz="4" w:space="0" w:color="auto"/>
              <w:right w:val="single" w:sz="4" w:space="0" w:color="auto"/>
            </w:tcBorders>
            <w:noWrap/>
            <w:vAlign w:val="bottom"/>
          </w:tcPr>
          <w:p w:rsidR="003F0F0B" w:rsidRPr="00F93E34" w:rsidRDefault="003F0F0B" w:rsidP="008B5A97">
            <w:pPr>
              <w:spacing w:after="0" w:line="240" w:lineRule="auto"/>
              <w:rPr>
                <w:rFonts w:ascii="Times New Roman" w:eastAsia="Calibri" w:hAnsi="Times New Roman"/>
                <w:sz w:val="24"/>
                <w:szCs w:val="24"/>
                <w:lang w:eastAsia="en-US"/>
              </w:rPr>
            </w:pPr>
          </w:p>
        </w:tc>
        <w:tc>
          <w:tcPr>
            <w:tcW w:w="1842" w:type="dxa"/>
            <w:tcBorders>
              <w:top w:val="single" w:sz="4" w:space="0" w:color="auto"/>
              <w:left w:val="nil"/>
              <w:bottom w:val="single" w:sz="4" w:space="0" w:color="auto"/>
              <w:right w:val="single" w:sz="4" w:space="0" w:color="auto"/>
            </w:tcBorders>
            <w:noWrap/>
            <w:vAlign w:val="bottom"/>
          </w:tcPr>
          <w:p w:rsidR="003F0F0B" w:rsidRPr="00F93E34" w:rsidRDefault="003F0F0B" w:rsidP="003F0F0B">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1</w:t>
            </w:r>
            <w:r>
              <w:rPr>
                <w:rFonts w:ascii="Times New Roman" w:eastAsia="Calibri" w:hAnsi="Times New Roman"/>
                <w:sz w:val="24"/>
                <w:szCs w:val="24"/>
                <w:lang w:eastAsia="en-US"/>
              </w:rPr>
              <w:t>4</w:t>
            </w:r>
            <w:r>
              <w:rPr>
                <w:rFonts w:ascii="Times New Roman" w:eastAsia="Calibri" w:hAnsi="Times New Roman"/>
                <w:sz w:val="24"/>
                <w:szCs w:val="24"/>
                <w:lang w:eastAsia="en-US"/>
              </w:rPr>
              <w:t>.04.2013</w:t>
            </w:r>
          </w:p>
        </w:tc>
      </w:tr>
      <w:tr w:rsidR="003F0F0B" w:rsidRPr="00732F53" w:rsidTr="008B5A97">
        <w:trPr>
          <w:trHeight w:val="592"/>
        </w:trPr>
        <w:tc>
          <w:tcPr>
            <w:tcW w:w="3267" w:type="dxa"/>
            <w:tcBorders>
              <w:top w:val="single" w:sz="4" w:space="0" w:color="auto"/>
              <w:left w:val="single" w:sz="4" w:space="0" w:color="auto"/>
              <w:bottom w:val="single" w:sz="4" w:space="0" w:color="auto"/>
              <w:right w:val="single" w:sz="4" w:space="0" w:color="auto"/>
            </w:tcBorders>
            <w:vAlign w:val="bottom"/>
          </w:tcPr>
          <w:p w:rsidR="003F0F0B" w:rsidRPr="00F93E34" w:rsidRDefault="003F0F0B" w:rsidP="008B5A97">
            <w:pPr>
              <w:spacing w:after="0" w:line="240" w:lineRule="auto"/>
              <w:rPr>
                <w:rFonts w:ascii="Times New Roman" w:hAnsi="Times New Roman"/>
                <w:sz w:val="24"/>
                <w:szCs w:val="24"/>
              </w:rPr>
            </w:pPr>
            <w:r w:rsidRPr="00F93E34">
              <w:rPr>
                <w:rFonts w:ascii="Times New Roman" w:hAnsi="Times New Roman"/>
                <w:sz w:val="24"/>
                <w:szCs w:val="24"/>
              </w:rPr>
              <w:t xml:space="preserve">Відділ стратегії та нормативно-методологічного забезпечення/провідний професіонал </w:t>
            </w:r>
          </w:p>
        </w:tc>
        <w:tc>
          <w:tcPr>
            <w:tcW w:w="2228" w:type="dxa"/>
            <w:tcBorders>
              <w:top w:val="single" w:sz="4" w:space="0" w:color="auto"/>
              <w:left w:val="nil"/>
              <w:bottom w:val="single" w:sz="4" w:space="0" w:color="auto"/>
              <w:right w:val="single" w:sz="4" w:space="0" w:color="auto"/>
            </w:tcBorders>
            <w:noWrap/>
            <w:vAlign w:val="bottom"/>
          </w:tcPr>
          <w:p w:rsidR="003F0F0B" w:rsidRDefault="003F0F0B" w:rsidP="008B5A97">
            <w:pPr>
              <w:spacing w:after="0" w:line="240" w:lineRule="auto"/>
              <w:rPr>
                <w:rFonts w:ascii="Times New Roman" w:hAnsi="Times New Roman"/>
                <w:sz w:val="24"/>
                <w:szCs w:val="24"/>
              </w:rPr>
            </w:pPr>
            <w:r w:rsidRPr="00F93E34">
              <w:rPr>
                <w:rFonts w:ascii="Times New Roman" w:hAnsi="Times New Roman"/>
                <w:sz w:val="24"/>
                <w:szCs w:val="24"/>
              </w:rPr>
              <w:t>Коноваленко І.В.</w:t>
            </w:r>
          </w:p>
        </w:tc>
        <w:tc>
          <w:tcPr>
            <w:tcW w:w="2977" w:type="dxa"/>
            <w:tcBorders>
              <w:top w:val="single" w:sz="4" w:space="0" w:color="auto"/>
              <w:left w:val="nil"/>
              <w:bottom w:val="single" w:sz="4" w:space="0" w:color="auto"/>
              <w:right w:val="single" w:sz="4" w:space="0" w:color="auto"/>
            </w:tcBorders>
            <w:noWrap/>
            <w:vAlign w:val="bottom"/>
          </w:tcPr>
          <w:p w:rsidR="003F0F0B" w:rsidRPr="00732F53" w:rsidRDefault="003F0F0B" w:rsidP="008B5A97">
            <w:pPr>
              <w:spacing w:after="0" w:line="240" w:lineRule="auto"/>
              <w:rPr>
                <w:rFonts w:ascii="Times New Roman" w:eastAsia="Calibri" w:hAnsi="Times New Roman"/>
                <w:sz w:val="24"/>
                <w:szCs w:val="24"/>
                <w:lang w:eastAsia="en-US"/>
              </w:rPr>
            </w:pPr>
          </w:p>
        </w:tc>
        <w:tc>
          <w:tcPr>
            <w:tcW w:w="1842" w:type="dxa"/>
            <w:tcBorders>
              <w:top w:val="single" w:sz="4" w:space="0" w:color="auto"/>
              <w:left w:val="nil"/>
              <w:bottom w:val="single" w:sz="4" w:space="0" w:color="auto"/>
              <w:right w:val="single" w:sz="4" w:space="0" w:color="auto"/>
            </w:tcBorders>
            <w:noWrap/>
            <w:vAlign w:val="bottom"/>
          </w:tcPr>
          <w:p w:rsidR="003F0F0B" w:rsidRPr="00AA7D08" w:rsidRDefault="003F0F0B" w:rsidP="003F0F0B">
            <w:pPr>
              <w:spacing w:after="0" w:line="240" w:lineRule="auto"/>
              <w:rPr>
                <w:rFonts w:ascii="Times New Roman" w:eastAsia="Calibri" w:hAnsi="Times New Roman"/>
                <w:b/>
                <w:sz w:val="24"/>
                <w:szCs w:val="24"/>
                <w:lang w:eastAsia="en-US"/>
              </w:rPr>
            </w:pPr>
            <w:r>
              <w:rPr>
                <w:rFonts w:ascii="Times New Roman" w:eastAsia="Calibri" w:hAnsi="Times New Roman"/>
                <w:sz w:val="24"/>
                <w:szCs w:val="24"/>
                <w:lang w:eastAsia="en-US"/>
              </w:rPr>
              <w:t>1</w:t>
            </w:r>
            <w:r>
              <w:rPr>
                <w:rFonts w:ascii="Times New Roman" w:eastAsia="Calibri" w:hAnsi="Times New Roman"/>
                <w:sz w:val="24"/>
                <w:szCs w:val="24"/>
                <w:lang w:eastAsia="en-US"/>
              </w:rPr>
              <w:t>4</w:t>
            </w:r>
            <w:r>
              <w:rPr>
                <w:rFonts w:ascii="Times New Roman" w:eastAsia="Calibri" w:hAnsi="Times New Roman"/>
                <w:sz w:val="24"/>
                <w:szCs w:val="24"/>
                <w:lang w:eastAsia="en-US"/>
              </w:rPr>
              <w:t>.04.2013</w:t>
            </w:r>
          </w:p>
        </w:tc>
      </w:tr>
    </w:tbl>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Pr>
        <w:spacing w:after="0" w:line="240" w:lineRule="auto"/>
        <w:jc w:val="both"/>
        <w:rPr>
          <w:rFonts w:ascii="Times New Roman" w:hAnsi="Times New Roman"/>
          <w:sz w:val="20"/>
          <w:szCs w:val="20"/>
        </w:rPr>
      </w:pPr>
    </w:p>
    <w:p w:rsidR="00A25856" w:rsidRDefault="00A25856" w:rsidP="00A25856"/>
    <w:p w:rsidR="00DF2DA4" w:rsidRDefault="00DF2DA4"/>
    <w:sectPr w:rsidR="00DF2DA4" w:rsidSect="00E86EF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339D"/>
    <w:multiLevelType w:val="hybridMultilevel"/>
    <w:tmpl w:val="6B12216A"/>
    <w:lvl w:ilvl="0" w:tplc="38B87BC4">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6AE92E8C"/>
    <w:multiLevelType w:val="hybridMultilevel"/>
    <w:tmpl w:val="C2E43892"/>
    <w:lvl w:ilvl="0" w:tplc="0419000F">
      <w:start w:val="1"/>
      <w:numFmt w:val="decimal"/>
      <w:lvlText w:val="%1."/>
      <w:lvlJc w:val="left"/>
      <w:pPr>
        <w:tabs>
          <w:tab w:val="num" w:pos="360"/>
        </w:tabs>
        <w:ind w:left="36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25856"/>
    <w:rsid w:val="000B3310"/>
    <w:rsid w:val="00132F8C"/>
    <w:rsid w:val="002B02E1"/>
    <w:rsid w:val="002C3408"/>
    <w:rsid w:val="003016C1"/>
    <w:rsid w:val="003F0F0B"/>
    <w:rsid w:val="004B60DD"/>
    <w:rsid w:val="009C0DEA"/>
    <w:rsid w:val="00A25856"/>
    <w:rsid w:val="00DF2DA4"/>
    <w:rsid w:val="00E24F8D"/>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D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A25856"/>
    <w:pPr>
      <w:spacing w:after="0" w:line="240" w:lineRule="auto"/>
      <w:jc w:val="center"/>
    </w:pPr>
    <w:rPr>
      <w:rFonts w:ascii="Times New Roman" w:eastAsia="Times New Roman" w:hAnsi="Times New Roman" w:cs="Times New Roman"/>
      <w:b/>
      <w:bCs/>
      <w:sz w:val="28"/>
      <w:szCs w:val="24"/>
      <w:lang w:eastAsia="ru-RU"/>
    </w:rPr>
  </w:style>
  <w:style w:type="character" w:customStyle="1" w:styleId="a4">
    <w:name w:val="Название Знак"/>
    <w:basedOn w:val="a0"/>
    <w:link w:val="a3"/>
    <w:uiPriority w:val="99"/>
    <w:rsid w:val="00A25856"/>
    <w:rPr>
      <w:rFonts w:ascii="Times New Roman" w:eastAsia="Times New Roman" w:hAnsi="Times New Roman" w:cs="Times New Roman"/>
      <w:b/>
      <w:bCs/>
      <w:sz w:val="28"/>
      <w:szCs w:val="24"/>
      <w:lang w:eastAsia="ru-RU"/>
    </w:rPr>
  </w:style>
  <w:style w:type="paragraph" w:styleId="HTML">
    <w:name w:val="HTML Preformatted"/>
    <w:basedOn w:val="a"/>
    <w:link w:val="HTML0"/>
    <w:uiPriority w:val="99"/>
    <w:rsid w:val="00A25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A25856"/>
    <w:rPr>
      <w:rFonts w:ascii="Courier New" w:eastAsia="Times New Roman" w:hAnsi="Courier New" w:cs="Times New Roman"/>
      <w:sz w:val="20"/>
      <w:szCs w:val="20"/>
      <w:lang w:val="ru-RU" w:eastAsia="ru-RU"/>
    </w:rPr>
  </w:style>
  <w:style w:type="paragraph" w:customStyle="1" w:styleId="NormalText">
    <w:name w:val="Normal Text"/>
    <w:basedOn w:val="a"/>
    <w:uiPriority w:val="99"/>
    <w:rsid w:val="00A25856"/>
    <w:pPr>
      <w:spacing w:after="0" w:line="240" w:lineRule="auto"/>
      <w:ind w:firstLine="567"/>
      <w:jc w:val="both"/>
    </w:pPr>
    <w:rPr>
      <w:rFonts w:ascii="Antiqua" w:eastAsia="Times New Roman" w:hAnsi="Antiqua" w:cs="Times New Roman"/>
      <w:sz w:val="26"/>
      <w:szCs w:val="20"/>
      <w:lang w:val="en-US" w:eastAsia="ru-RU"/>
    </w:rPr>
  </w:style>
  <w:style w:type="paragraph" w:styleId="a5">
    <w:name w:val="Normal (Web)"/>
    <w:basedOn w:val="a"/>
    <w:uiPriority w:val="99"/>
    <w:rsid w:val="00A258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713513">
      <w:bodyDiv w:val="1"/>
      <w:marLeft w:val="0"/>
      <w:marRight w:val="0"/>
      <w:marTop w:val="0"/>
      <w:marBottom w:val="0"/>
      <w:divBdr>
        <w:top w:val="none" w:sz="0" w:space="0" w:color="auto"/>
        <w:left w:val="none" w:sz="0" w:space="0" w:color="auto"/>
        <w:bottom w:val="none" w:sz="0" w:space="0" w:color="auto"/>
        <w:right w:val="none" w:sz="0" w:space="0" w:color="auto"/>
      </w:divBdr>
    </w:div>
    <w:div w:id="561214526">
      <w:bodyDiv w:val="1"/>
      <w:marLeft w:val="0"/>
      <w:marRight w:val="0"/>
      <w:marTop w:val="0"/>
      <w:marBottom w:val="0"/>
      <w:divBdr>
        <w:top w:val="none" w:sz="0" w:space="0" w:color="auto"/>
        <w:left w:val="none" w:sz="0" w:space="0" w:color="auto"/>
        <w:bottom w:val="none" w:sz="0" w:space="0" w:color="auto"/>
        <w:right w:val="none" w:sz="0" w:space="0" w:color="auto"/>
      </w:divBdr>
    </w:div>
    <w:div w:id="16996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2265</Words>
  <Characters>1292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Konovalenko</dc:creator>
  <cp:keywords/>
  <dc:description/>
  <cp:lastModifiedBy>Konovalenko</cp:lastModifiedBy>
  <cp:revision>9</cp:revision>
  <dcterms:created xsi:type="dcterms:W3CDTF">2013-09-30T07:41:00Z</dcterms:created>
  <dcterms:modified xsi:type="dcterms:W3CDTF">2013-09-30T09:30:00Z</dcterms:modified>
</cp:coreProperties>
</file>