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78" w:rsidRPr="0033222D" w:rsidRDefault="00D44778" w:rsidP="006756A9">
      <w:pPr>
        <w:pStyle w:val="a3"/>
        <w:rPr>
          <w:szCs w:val="28"/>
        </w:rPr>
      </w:pPr>
      <w:r w:rsidRPr="0033222D">
        <w:rPr>
          <w:szCs w:val="28"/>
        </w:rPr>
        <w:t xml:space="preserve">Звіт про базове відстеження результативності </w:t>
      </w:r>
    </w:p>
    <w:p w:rsidR="00D44778" w:rsidRPr="00F153E3" w:rsidRDefault="00D44778" w:rsidP="006756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53E3">
        <w:rPr>
          <w:rFonts w:ascii="Times New Roman" w:hAnsi="Times New Roman"/>
          <w:b/>
          <w:sz w:val="28"/>
          <w:szCs w:val="28"/>
        </w:rPr>
        <w:t>рішення виконавчої дирекції Фонду гарантування вкладів фізичних осіб «</w:t>
      </w:r>
      <w:r w:rsidR="0006586F">
        <w:rPr>
          <w:rFonts w:ascii="Times New Roman" w:hAnsi="Times New Roman"/>
          <w:b/>
          <w:sz w:val="28"/>
          <w:szCs w:val="28"/>
        </w:rPr>
        <w:t xml:space="preserve">Про затвердження </w:t>
      </w:r>
      <w:r w:rsidRPr="00F153E3">
        <w:rPr>
          <w:rFonts w:ascii="Times New Roman" w:hAnsi="Times New Roman"/>
          <w:b/>
          <w:sz w:val="28"/>
          <w:szCs w:val="28"/>
        </w:rPr>
        <w:t>Положення про порядок створення, реєстрації випуску акцій, видачі банківської ліцензії та генеральної ліцензії на здійснення валютних операцій перехідному банку»</w:t>
      </w:r>
    </w:p>
    <w:p w:rsidR="00D44778" w:rsidRPr="00F153E3" w:rsidRDefault="00D44778" w:rsidP="006756A9">
      <w:pPr>
        <w:rPr>
          <w:b/>
          <w:sz w:val="28"/>
          <w:szCs w:val="28"/>
        </w:rPr>
      </w:pPr>
    </w:p>
    <w:p w:rsidR="00D44778" w:rsidRPr="0033222D" w:rsidRDefault="00D44778" w:rsidP="006756A9">
      <w:pPr>
        <w:pStyle w:val="HTML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6"/>
        <w:jc w:val="both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noProof/>
          <w:sz w:val="28"/>
          <w:szCs w:val="28"/>
          <w:lang w:val="uk-UA"/>
        </w:rPr>
        <w:t>Вид та назва регуляторного акта</w:t>
      </w:r>
    </w:p>
    <w:p w:rsidR="00D44778" w:rsidRPr="00F153E3" w:rsidRDefault="00D44778" w:rsidP="006756A9">
      <w:pPr>
        <w:pStyle w:val="NormalText"/>
        <w:ind w:firstLine="426"/>
        <w:rPr>
          <w:rFonts w:ascii="Times New Roman" w:hAnsi="Times New Roman"/>
          <w:sz w:val="28"/>
          <w:szCs w:val="28"/>
          <w:lang w:val="uk-UA" w:eastAsia="en-US"/>
        </w:rPr>
      </w:pPr>
      <w:r w:rsidRPr="00317571">
        <w:rPr>
          <w:rFonts w:ascii="Times New Roman" w:hAnsi="Times New Roman"/>
          <w:sz w:val="28"/>
          <w:szCs w:val="28"/>
          <w:lang w:val="uk-UA" w:eastAsia="en-US"/>
        </w:rPr>
        <w:t xml:space="preserve">Рішення </w:t>
      </w:r>
      <w:r w:rsidRPr="00F153E3">
        <w:rPr>
          <w:rFonts w:ascii="Times New Roman" w:hAnsi="Times New Roman"/>
          <w:sz w:val="28"/>
          <w:szCs w:val="28"/>
          <w:lang w:val="uk-UA" w:eastAsia="en-US"/>
        </w:rPr>
        <w:t xml:space="preserve">виконавчої дирекції Фонду гарантування вкладів фізичних осіб </w:t>
      </w:r>
      <w:r w:rsidRPr="00F153E3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</w:t>
      </w:r>
      <w:r w:rsidRPr="00F153E3">
        <w:rPr>
          <w:rFonts w:ascii="Times New Roman" w:hAnsi="Times New Roman"/>
          <w:sz w:val="28"/>
          <w:szCs w:val="28"/>
          <w:lang w:val="uk-UA"/>
        </w:rPr>
        <w:t xml:space="preserve">Положення про порядок створення, реєстрації випуску акцій, видачі банківської ліцензії та генеральної ліцензії на здійснення валютних операцій перехідному банку» від 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F153E3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F153E3">
        <w:rPr>
          <w:rFonts w:ascii="Times New Roman" w:hAnsi="Times New Roman"/>
          <w:sz w:val="28"/>
          <w:szCs w:val="28"/>
          <w:lang w:val="uk-UA"/>
        </w:rPr>
        <w:t>.2013 № 2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F153E3">
        <w:rPr>
          <w:rFonts w:ascii="Times New Roman" w:hAnsi="Times New Roman"/>
          <w:sz w:val="28"/>
          <w:szCs w:val="28"/>
          <w:lang w:val="uk-UA"/>
        </w:rPr>
        <w:t>.</w:t>
      </w:r>
    </w:p>
    <w:p w:rsidR="00D44778" w:rsidRDefault="00D44778" w:rsidP="006756A9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D44778" w:rsidRPr="0033222D" w:rsidRDefault="00D44778" w:rsidP="006756A9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Виконавець заходів з відстеження</w:t>
      </w:r>
    </w:p>
    <w:p w:rsidR="00D44778" w:rsidRPr="00B64F01" w:rsidRDefault="00D44778" w:rsidP="006756A9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 w:rsidRPr="004E5D52">
        <w:rPr>
          <w:rFonts w:ascii="Times New Roman" w:hAnsi="Times New Roman"/>
          <w:sz w:val="28"/>
          <w:szCs w:val="28"/>
          <w:lang w:val="uk-UA"/>
        </w:rPr>
        <w:t xml:space="preserve">стратегії та </w:t>
      </w:r>
      <w:r>
        <w:rPr>
          <w:rFonts w:ascii="Times New Roman" w:hAnsi="Times New Roman"/>
          <w:sz w:val="28"/>
          <w:szCs w:val="28"/>
          <w:lang w:val="uk-UA"/>
        </w:rPr>
        <w:t>нормативно-методологічного забезпечення</w:t>
      </w:r>
      <w:r w:rsidRPr="004E5D52">
        <w:rPr>
          <w:rFonts w:ascii="Times New Roman" w:hAnsi="Times New Roman"/>
          <w:sz w:val="28"/>
          <w:szCs w:val="28"/>
          <w:lang w:val="uk-UA"/>
        </w:rPr>
        <w:t xml:space="preserve"> Фонду.</w:t>
      </w:r>
    </w:p>
    <w:p w:rsidR="00D44778" w:rsidRPr="00B64F01" w:rsidRDefault="00D44778" w:rsidP="006756A9">
      <w:pPr>
        <w:pStyle w:val="NormalText"/>
        <w:rPr>
          <w:rFonts w:ascii="Times New Roman" w:hAnsi="Times New Roman"/>
          <w:sz w:val="28"/>
          <w:szCs w:val="28"/>
          <w:lang w:val="uk-UA" w:eastAsia="en-US"/>
        </w:rPr>
      </w:pPr>
    </w:p>
    <w:p w:rsidR="00D44778" w:rsidRDefault="00D44778" w:rsidP="006756A9">
      <w:pPr>
        <w:pStyle w:val="HTML"/>
        <w:numPr>
          <w:ilvl w:val="0"/>
          <w:numId w:val="1"/>
        </w:numPr>
        <w:ind w:right="-8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Цілі прийняття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регуляторного </w:t>
      </w:r>
      <w:r w:rsidRPr="0033222D">
        <w:rPr>
          <w:rFonts w:ascii="Times New Roman" w:hAnsi="Times New Roman"/>
          <w:b/>
          <w:sz w:val="28"/>
          <w:szCs w:val="28"/>
          <w:lang w:val="uk-UA"/>
        </w:rPr>
        <w:t>акта</w:t>
      </w:r>
    </w:p>
    <w:p w:rsidR="00D44778" w:rsidRPr="00F153E3" w:rsidRDefault="00D44778" w:rsidP="00F153E3">
      <w:pPr>
        <w:spacing w:before="120" w:after="12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153E3">
        <w:rPr>
          <w:rFonts w:ascii="Times New Roman" w:hAnsi="Times New Roman"/>
          <w:sz w:val="28"/>
          <w:szCs w:val="28"/>
        </w:rPr>
        <w:t xml:space="preserve">Регуляторний акт спрямований на визначення порядку створення перехідного банку, особливостей реєстрації  Національною комісією з цінних паперів та фондового ринку  випуску акцій та процедури видачі Національним банком України банківської ліцензії </w:t>
      </w:r>
      <w:r>
        <w:rPr>
          <w:rFonts w:ascii="Times New Roman" w:hAnsi="Times New Roman"/>
          <w:sz w:val="28"/>
          <w:szCs w:val="28"/>
        </w:rPr>
        <w:t xml:space="preserve">та генеральної ліцензії на здійснення валютних операцій </w:t>
      </w:r>
      <w:r w:rsidRPr="00F153E3">
        <w:rPr>
          <w:rFonts w:ascii="Times New Roman" w:hAnsi="Times New Roman"/>
          <w:sz w:val="28"/>
          <w:szCs w:val="28"/>
        </w:rPr>
        <w:t>перехідному банку, що у свою чергу забезпечить  якісне  виведення неплатоспроможного банку з ринку шляхом передачі частини його активів та зобов’язань перехідному банку з подальшим  продажем такого перехідного банку інвестору.</w:t>
      </w:r>
    </w:p>
    <w:p w:rsidR="00D44778" w:rsidRPr="008742D6" w:rsidRDefault="00D44778" w:rsidP="006756A9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D44778" w:rsidRDefault="00D44778" w:rsidP="006756A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Строк виконання заходів з відстеження</w:t>
      </w:r>
    </w:p>
    <w:p w:rsidR="00D44778" w:rsidRPr="00445504" w:rsidRDefault="00D44778" w:rsidP="006756A9">
      <w:pPr>
        <w:pStyle w:val="NormalText"/>
        <w:ind w:firstLine="360"/>
        <w:rPr>
          <w:rFonts w:ascii="Times New Roman" w:hAnsi="Times New Roman"/>
          <w:sz w:val="28"/>
          <w:szCs w:val="28"/>
          <w:lang w:val="uk-UA"/>
        </w:rPr>
      </w:pPr>
      <w:r w:rsidRPr="00445504">
        <w:rPr>
          <w:rFonts w:ascii="Times New Roman" w:hAnsi="Times New Roman"/>
          <w:sz w:val="28"/>
          <w:szCs w:val="28"/>
          <w:lang w:val="uk-UA"/>
        </w:rPr>
        <w:t xml:space="preserve">Базове відстеження результативності регуляторного акта проводилось з </w:t>
      </w:r>
      <w:r>
        <w:rPr>
          <w:rFonts w:ascii="Times New Roman" w:hAnsi="Times New Roman"/>
          <w:sz w:val="28"/>
          <w:szCs w:val="28"/>
          <w:lang w:val="uk-UA"/>
        </w:rPr>
        <w:t xml:space="preserve">         22</w:t>
      </w:r>
      <w:r w:rsidR="00E925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о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="00E9255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серпня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44550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D44778" w:rsidRPr="00445504" w:rsidRDefault="00D44778" w:rsidP="006756A9">
      <w:pPr>
        <w:pStyle w:val="NormalText"/>
        <w:ind w:firstLine="360"/>
        <w:rPr>
          <w:rFonts w:ascii="Times New Roman" w:hAnsi="Times New Roman"/>
          <w:sz w:val="28"/>
          <w:szCs w:val="28"/>
          <w:lang w:val="ru-RU" w:eastAsia="en-US"/>
        </w:rPr>
      </w:pPr>
    </w:p>
    <w:p w:rsidR="00D44778" w:rsidRPr="0033222D" w:rsidRDefault="00D44778" w:rsidP="006756A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Тип відстеження</w:t>
      </w:r>
    </w:p>
    <w:p w:rsidR="00D44778" w:rsidRDefault="00D44778" w:rsidP="006756A9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  <w:r w:rsidRPr="0033222D">
        <w:rPr>
          <w:rFonts w:ascii="Times New Roman" w:hAnsi="Times New Roman"/>
          <w:sz w:val="28"/>
          <w:szCs w:val="28"/>
          <w:lang w:val="uk-UA"/>
        </w:rPr>
        <w:t>Базове відстеження.</w:t>
      </w:r>
    </w:p>
    <w:p w:rsidR="00D44778" w:rsidRDefault="00D44778" w:rsidP="006756A9">
      <w:pPr>
        <w:pStyle w:val="NormalText"/>
        <w:ind w:firstLine="600"/>
        <w:rPr>
          <w:rFonts w:ascii="Times New Roman" w:hAnsi="Times New Roman"/>
          <w:sz w:val="28"/>
          <w:szCs w:val="28"/>
          <w:lang w:val="uk-UA"/>
        </w:rPr>
      </w:pPr>
    </w:p>
    <w:p w:rsidR="00D44778" w:rsidRPr="0033222D" w:rsidRDefault="00D44778" w:rsidP="006756A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>Метод одержання результатів відстеження</w:t>
      </w:r>
    </w:p>
    <w:p w:rsidR="00D44778" w:rsidRPr="004E5D52" w:rsidRDefault="00D44778" w:rsidP="006756A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Аналіз відповідних збитків/прибутків Фонду гарантування вкладів фізичних осіб  при обранні способу виведення неплатоспроможного банку з ринку шляхом створення перехідного банку, а також оперативність створення, реєстрації випуску акцій, </w:t>
      </w:r>
      <w:r w:rsidRPr="00F153E3">
        <w:rPr>
          <w:rFonts w:ascii="Times New Roman" w:hAnsi="Times New Roman"/>
          <w:sz w:val="28"/>
          <w:szCs w:val="28"/>
        </w:rPr>
        <w:t>видачі банківської ліцензії та генеральної ліцензії на здійснення валютних операцій перехідному банку</w:t>
      </w:r>
      <w:r>
        <w:rPr>
          <w:rFonts w:ascii="Times New Roman" w:hAnsi="Times New Roman"/>
          <w:sz w:val="28"/>
          <w:szCs w:val="28"/>
        </w:rPr>
        <w:t>.</w:t>
      </w:r>
    </w:p>
    <w:p w:rsidR="00D44778" w:rsidRPr="004E5D52" w:rsidRDefault="00D44778" w:rsidP="006756A9">
      <w:pPr>
        <w:pStyle w:val="NormalText"/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D44778" w:rsidRPr="0033222D" w:rsidRDefault="00D44778" w:rsidP="006756A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33222D">
        <w:rPr>
          <w:rFonts w:ascii="Times New Roman" w:hAnsi="Times New Roman"/>
          <w:b/>
          <w:sz w:val="28"/>
          <w:szCs w:val="28"/>
          <w:lang w:val="uk-UA"/>
        </w:rPr>
        <w:t xml:space="preserve">Дані та припущення, на основі яких відстежувалися результативність,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 також способи одержання даних </w:t>
      </w:r>
    </w:p>
    <w:p w:rsidR="00D44778" w:rsidRDefault="00D44778" w:rsidP="00A81E8A">
      <w:pPr>
        <w:spacing w:before="120" w:after="12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1F7B0C">
        <w:rPr>
          <w:rFonts w:ascii="Times New Roman" w:hAnsi="Times New Roman"/>
          <w:sz w:val="28"/>
          <w:szCs w:val="28"/>
        </w:rPr>
        <w:t xml:space="preserve">Показниками результативності </w:t>
      </w:r>
      <w:r>
        <w:rPr>
          <w:rFonts w:ascii="Times New Roman" w:hAnsi="Times New Roman"/>
          <w:sz w:val="28"/>
          <w:szCs w:val="28"/>
        </w:rPr>
        <w:t xml:space="preserve">регуляторного акту </w:t>
      </w:r>
      <w:r>
        <w:rPr>
          <w:rFonts w:ascii="Times New Roman" w:hAnsi="Times New Roman"/>
          <w:bCs/>
          <w:sz w:val="28"/>
          <w:szCs w:val="28"/>
        </w:rPr>
        <w:t>є:</w:t>
      </w:r>
    </w:p>
    <w:p w:rsidR="00D44778" w:rsidRDefault="00D44778" w:rsidP="00A81E8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злагодженість роботи </w:t>
      </w:r>
      <w:r>
        <w:rPr>
          <w:rFonts w:ascii="Times New Roman" w:hAnsi="Times New Roman"/>
          <w:sz w:val="28"/>
          <w:szCs w:val="28"/>
        </w:rPr>
        <w:t xml:space="preserve">Фонду, Національної комісії з цінних паперів та фондового ринку та Національного банку України при створенні, </w:t>
      </w:r>
      <w:r>
        <w:rPr>
          <w:rFonts w:ascii="Times New Roman" w:hAnsi="Times New Roman"/>
          <w:sz w:val="28"/>
          <w:szCs w:val="28"/>
        </w:rPr>
        <w:lastRenderedPageBreak/>
        <w:t xml:space="preserve">реєстрації випуску акцій, </w:t>
      </w:r>
      <w:r w:rsidRPr="00F153E3">
        <w:rPr>
          <w:rFonts w:ascii="Times New Roman" w:hAnsi="Times New Roman"/>
          <w:sz w:val="28"/>
          <w:szCs w:val="28"/>
        </w:rPr>
        <w:t>видачі банківської ліцензії та генеральної ліцензії на здійснення валютних операцій перехідному банку</w:t>
      </w:r>
      <w:r>
        <w:rPr>
          <w:rFonts w:ascii="Times New Roman" w:hAnsi="Times New Roman"/>
          <w:sz w:val="28"/>
          <w:szCs w:val="28"/>
        </w:rPr>
        <w:t>;</w:t>
      </w:r>
    </w:p>
    <w:p w:rsidR="00D44778" w:rsidRDefault="00D44778" w:rsidP="00A81E8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максимально короткі строки та спрощена процедури створення, </w:t>
      </w:r>
      <w:r>
        <w:rPr>
          <w:rFonts w:ascii="Times New Roman" w:hAnsi="Times New Roman"/>
          <w:sz w:val="28"/>
          <w:szCs w:val="28"/>
        </w:rPr>
        <w:t>реєстрації випуску акцій та видачі банківської ліцензії і</w:t>
      </w:r>
      <w:r w:rsidRPr="00F153E3">
        <w:rPr>
          <w:rFonts w:ascii="Times New Roman" w:hAnsi="Times New Roman"/>
          <w:sz w:val="28"/>
          <w:szCs w:val="28"/>
        </w:rPr>
        <w:t xml:space="preserve"> генеральної ліцензії на здійснення валютних операцій перехідному банку</w:t>
      </w:r>
      <w:r>
        <w:rPr>
          <w:rFonts w:ascii="Times New Roman" w:hAnsi="Times New Roman"/>
          <w:sz w:val="28"/>
          <w:szCs w:val="28"/>
        </w:rPr>
        <w:t xml:space="preserve"> перехідному банку;</w:t>
      </w:r>
    </w:p>
    <w:p w:rsidR="00D44778" w:rsidRDefault="00D44778" w:rsidP="00A81E8A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мінімізація ризиків та витрат Фонду при виведенні неплатоспроможного банку з ринку, у разі прийняття виконавчою дирекцією Фонду рішення про виведення такого банку з ринку шляхом створення перехідного банку. </w:t>
      </w:r>
    </w:p>
    <w:p w:rsidR="00D44778" w:rsidRDefault="00D44778" w:rsidP="006756A9">
      <w:pPr>
        <w:pStyle w:val="NormalText"/>
        <w:ind w:firstLine="426"/>
        <w:rPr>
          <w:rFonts w:ascii="Times New Roman" w:hAnsi="Times New Roman"/>
          <w:sz w:val="28"/>
          <w:szCs w:val="28"/>
          <w:lang w:val="uk-UA"/>
        </w:rPr>
      </w:pPr>
    </w:p>
    <w:p w:rsidR="00D44778" w:rsidRPr="004E5D52" w:rsidRDefault="00D44778" w:rsidP="006756A9">
      <w:pPr>
        <w:pStyle w:val="NormalText"/>
        <w:numPr>
          <w:ilvl w:val="0"/>
          <w:numId w:val="1"/>
        </w:numPr>
        <w:tabs>
          <w:tab w:val="clear" w:pos="360"/>
          <w:tab w:val="num" w:pos="0"/>
        </w:tabs>
        <w:ind w:left="0" w:firstLine="0"/>
        <w:rPr>
          <w:rFonts w:ascii="Times New Roman" w:hAnsi="Times New Roman"/>
          <w:b/>
          <w:sz w:val="28"/>
          <w:szCs w:val="28"/>
          <w:lang w:val="uk-UA"/>
        </w:rPr>
      </w:pPr>
      <w:r w:rsidRPr="001F7B0C">
        <w:rPr>
          <w:rFonts w:ascii="Times New Roman" w:hAnsi="Times New Roman"/>
          <w:b/>
          <w:sz w:val="28"/>
          <w:szCs w:val="28"/>
          <w:lang w:val="uk-UA"/>
        </w:rPr>
        <w:t>Кількісні та якісні значення</w:t>
      </w:r>
      <w:r w:rsidRPr="00C043DF">
        <w:rPr>
          <w:rFonts w:ascii="Times New Roman" w:hAnsi="Times New Roman"/>
          <w:b/>
          <w:sz w:val="28"/>
          <w:szCs w:val="28"/>
          <w:lang w:val="uk-UA"/>
        </w:rPr>
        <w:t xml:space="preserve"> показників результативності</w:t>
      </w:r>
    </w:p>
    <w:p w:rsidR="00D44778" w:rsidRDefault="00D44778" w:rsidP="003847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Якісним показником результативності є можливість належним чином захистити права і законні інтереси вкладників  шляхом передачі зобов’язань за вкладами фізичних осіб, що гарантуються Фондом, перехідному банку у повному обсязі.</w:t>
      </w:r>
    </w:p>
    <w:p w:rsidR="00D44778" w:rsidRPr="001F7B0C" w:rsidRDefault="00D44778" w:rsidP="00A81E8A">
      <w:pPr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Кількісні показники результативності будуть аналізуватись у випадку затвердження виконавчою дирекцією Фонду способу виведення неплатоспроможного банку з ринку шляхом створення перехідного банку.</w:t>
      </w:r>
    </w:p>
    <w:p w:rsidR="00D44778" w:rsidRDefault="00D44778" w:rsidP="006756A9">
      <w:pPr>
        <w:pStyle w:val="a5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44778" w:rsidRDefault="00D44778" w:rsidP="006756A9">
      <w:pPr>
        <w:pStyle w:val="NormalText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F870E2">
        <w:rPr>
          <w:rFonts w:ascii="Times New Roman" w:hAnsi="Times New Roman"/>
          <w:b/>
          <w:sz w:val="28"/>
          <w:szCs w:val="28"/>
          <w:lang w:val="uk-UA"/>
        </w:rPr>
        <w:t>Оцінка результативності реалізації регуляторного акта та ступеня досягнення визначених цілей</w:t>
      </w:r>
    </w:p>
    <w:p w:rsidR="00D44778" w:rsidRDefault="00D44778" w:rsidP="006756A9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</w:p>
    <w:p w:rsidR="00D44778" w:rsidRPr="009E4B60" w:rsidRDefault="00D44778" w:rsidP="006756A9">
      <w:pPr>
        <w:pStyle w:val="NormalText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Реалізація регуляторного акта дозволяє досягти визначених, підчас його розробки, цілей. Остаточний висновок щодо його результативності можна буде зробити після проведення повторного та періодичних відстежень на підставі аналізу наведених показників.</w:t>
      </w:r>
    </w:p>
    <w:p w:rsidR="00D44778" w:rsidRDefault="00D44778" w:rsidP="006756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931AB">
        <w:rPr>
          <w:rFonts w:ascii="Times New Roman" w:hAnsi="Times New Roman"/>
          <w:sz w:val="28"/>
          <w:szCs w:val="28"/>
        </w:rPr>
        <w:t xml:space="preserve">Перешкод для реалізації норм цього регуляторного акту немає.Негативних </w:t>
      </w:r>
      <w:r>
        <w:rPr>
          <w:rFonts w:ascii="Times New Roman" w:hAnsi="Times New Roman"/>
          <w:sz w:val="28"/>
          <w:szCs w:val="28"/>
        </w:rPr>
        <w:t>наслідків</w:t>
      </w:r>
      <w:r w:rsidRPr="00A931AB">
        <w:rPr>
          <w:rFonts w:ascii="Times New Roman" w:hAnsi="Times New Roman"/>
          <w:sz w:val="28"/>
          <w:szCs w:val="28"/>
        </w:rPr>
        <w:t xml:space="preserve"> прийняття регуляторного акта не очікується.</w:t>
      </w:r>
    </w:p>
    <w:p w:rsidR="00D44778" w:rsidRDefault="00D44778" w:rsidP="00675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778" w:rsidRDefault="00D44778" w:rsidP="00675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778" w:rsidRPr="00D7000C" w:rsidRDefault="00D44778" w:rsidP="00675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000C">
        <w:rPr>
          <w:rFonts w:ascii="Times New Roman" w:hAnsi="Times New Roman"/>
          <w:b/>
          <w:sz w:val="28"/>
          <w:szCs w:val="28"/>
        </w:rPr>
        <w:t>Директор-розпорядник</w:t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</w:r>
      <w:r w:rsidRPr="00D7000C">
        <w:rPr>
          <w:rFonts w:ascii="Times New Roman" w:hAnsi="Times New Roman"/>
          <w:b/>
          <w:sz w:val="28"/>
          <w:szCs w:val="28"/>
        </w:rPr>
        <w:tab/>
        <w:t>О.І.Шарова</w:t>
      </w:r>
    </w:p>
    <w:p w:rsidR="00D44778" w:rsidRDefault="00D44778" w:rsidP="00675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778" w:rsidRPr="00364582" w:rsidRDefault="00D44778" w:rsidP="006756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 w:rsidP="006756A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4778" w:rsidRDefault="00D44778"/>
    <w:p w:rsidR="00B52AE8" w:rsidRDefault="00B52AE8"/>
    <w:p w:rsidR="00B52AE8" w:rsidRDefault="00B52AE8"/>
    <w:tbl>
      <w:tblPr>
        <w:tblW w:w="10314" w:type="dxa"/>
        <w:tblLook w:val="04A0"/>
      </w:tblPr>
      <w:tblGrid>
        <w:gridCol w:w="3267"/>
        <w:gridCol w:w="2228"/>
        <w:gridCol w:w="2977"/>
        <w:gridCol w:w="1842"/>
      </w:tblGrid>
      <w:tr w:rsidR="00B52AE8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E8" w:rsidRPr="00F93E34" w:rsidRDefault="00B52AE8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Підрозділ/</w:t>
            </w:r>
          </w:p>
          <w:p w:rsidR="00B52AE8" w:rsidRPr="00F93E34" w:rsidRDefault="00B52AE8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посадова особа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E8" w:rsidRPr="00F93E34" w:rsidRDefault="00B52AE8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П.І.Б.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E8" w:rsidRPr="00F93E34" w:rsidRDefault="00B52AE8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Підпис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E8" w:rsidRPr="00F93E34" w:rsidRDefault="00B52AE8" w:rsidP="008B5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B52AE8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E8" w:rsidRDefault="00B52AE8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Заступник директора-розпорядника Фонду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E8" w:rsidRDefault="00B52AE8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Оленчик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E8" w:rsidRPr="00F93E34" w:rsidRDefault="00B52AE8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E8" w:rsidRPr="00F93E34" w:rsidRDefault="00B52AE8" w:rsidP="00B52A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.2013</w:t>
            </w:r>
          </w:p>
        </w:tc>
      </w:tr>
      <w:tr w:rsidR="00B52AE8" w:rsidRPr="00F93E34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2AE8" w:rsidRPr="00F93E34" w:rsidRDefault="00B52AE8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Відділ стратегії та нормативно-методологічного забезпечення/начальник відділу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2AE8" w:rsidRPr="00F93E34" w:rsidRDefault="00B52AE8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Лапаєва Н.О.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E8" w:rsidRPr="00F93E34" w:rsidRDefault="00B52AE8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E8" w:rsidRPr="00F93E34" w:rsidRDefault="00B52AE8" w:rsidP="00B52AE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.2013</w:t>
            </w:r>
          </w:p>
        </w:tc>
      </w:tr>
      <w:tr w:rsidR="00B52AE8" w:rsidRPr="00732F53" w:rsidTr="008B5A97">
        <w:trPr>
          <w:trHeight w:val="592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AE8" w:rsidRPr="00F93E34" w:rsidRDefault="00B52AE8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 xml:space="preserve">Відділ стратегії та нормативно-методологічного забезпечення/провідний професіонал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E8" w:rsidRDefault="00B52AE8" w:rsidP="008B5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3E34">
              <w:rPr>
                <w:rFonts w:ascii="Times New Roman" w:hAnsi="Times New Roman"/>
                <w:sz w:val="24"/>
                <w:szCs w:val="24"/>
              </w:rPr>
              <w:t>Коноваленко І.В.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E8" w:rsidRPr="00732F53" w:rsidRDefault="00B52AE8" w:rsidP="008B5A9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2AE8" w:rsidRPr="00AA7D08" w:rsidRDefault="00B52AE8" w:rsidP="00B52AE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.2013</w:t>
            </w:r>
          </w:p>
        </w:tc>
      </w:tr>
    </w:tbl>
    <w:p w:rsidR="00B52AE8" w:rsidRDefault="00B52AE8"/>
    <w:sectPr w:rsidR="00B52AE8" w:rsidSect="00E86E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39D"/>
    <w:multiLevelType w:val="hybridMultilevel"/>
    <w:tmpl w:val="6B12216A"/>
    <w:lvl w:ilvl="0" w:tplc="38B87BC4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E92E8C"/>
    <w:multiLevelType w:val="hybridMultilevel"/>
    <w:tmpl w:val="C2E438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6A9"/>
    <w:rsid w:val="0006586F"/>
    <w:rsid w:val="001F7B0C"/>
    <w:rsid w:val="00317571"/>
    <w:rsid w:val="0033222D"/>
    <w:rsid w:val="00364582"/>
    <w:rsid w:val="003847EF"/>
    <w:rsid w:val="00445504"/>
    <w:rsid w:val="004E5D52"/>
    <w:rsid w:val="005042CE"/>
    <w:rsid w:val="006756A9"/>
    <w:rsid w:val="006D40AA"/>
    <w:rsid w:val="008742D6"/>
    <w:rsid w:val="00877F38"/>
    <w:rsid w:val="0088214C"/>
    <w:rsid w:val="009E4B60"/>
    <w:rsid w:val="00A81E8A"/>
    <w:rsid w:val="00A931AB"/>
    <w:rsid w:val="00B52AE8"/>
    <w:rsid w:val="00B64F01"/>
    <w:rsid w:val="00BA30DC"/>
    <w:rsid w:val="00C043DF"/>
    <w:rsid w:val="00D44778"/>
    <w:rsid w:val="00D7000C"/>
    <w:rsid w:val="00E86EF4"/>
    <w:rsid w:val="00E9255B"/>
    <w:rsid w:val="00EE1331"/>
    <w:rsid w:val="00F153E3"/>
    <w:rsid w:val="00F426F3"/>
    <w:rsid w:val="00F870E2"/>
    <w:rsid w:val="00FD25F1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DC"/>
    <w:pPr>
      <w:spacing w:after="200" w:line="276" w:lineRule="auto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6A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756A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75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756A9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NormalText">
    <w:name w:val="Normal Text"/>
    <w:basedOn w:val="a"/>
    <w:uiPriority w:val="99"/>
    <w:rsid w:val="006756A9"/>
    <w:pPr>
      <w:spacing w:after="0" w:line="240" w:lineRule="auto"/>
      <w:ind w:firstLine="567"/>
      <w:jc w:val="both"/>
    </w:pPr>
    <w:rPr>
      <w:rFonts w:ascii="Antiqua" w:hAnsi="Antiqua"/>
      <w:sz w:val="26"/>
      <w:szCs w:val="20"/>
      <w:lang w:val="en-US" w:eastAsia="ru-RU"/>
    </w:rPr>
  </w:style>
  <w:style w:type="paragraph" w:styleId="a5">
    <w:name w:val="Normal (Web)"/>
    <w:basedOn w:val="a"/>
    <w:uiPriority w:val="99"/>
    <w:rsid w:val="00675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153E3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rsid w:val="00A81E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81E8A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2539</Words>
  <Characters>1448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базове відстеження результативності </vt:lpstr>
    </vt:vector>
  </TitlesOfParts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базове відстеження результативності </dc:title>
  <dc:subject/>
  <dc:creator>Konovalenko</dc:creator>
  <cp:keywords/>
  <dc:description/>
  <cp:lastModifiedBy>Konovalenko</cp:lastModifiedBy>
  <cp:revision>4</cp:revision>
  <dcterms:created xsi:type="dcterms:W3CDTF">2013-09-27T05:19:00Z</dcterms:created>
  <dcterms:modified xsi:type="dcterms:W3CDTF">2013-09-30T09:01:00Z</dcterms:modified>
</cp:coreProperties>
</file>