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2A" w:rsidRPr="0033222D" w:rsidRDefault="00061B2A" w:rsidP="00061B2A">
      <w:pPr>
        <w:pStyle w:val="a3"/>
        <w:rPr>
          <w:szCs w:val="28"/>
        </w:rPr>
      </w:pPr>
      <w:r>
        <w:rPr>
          <w:szCs w:val="28"/>
        </w:rPr>
        <w:t>Звіт про повторне</w:t>
      </w:r>
      <w:r w:rsidRPr="0033222D">
        <w:rPr>
          <w:szCs w:val="28"/>
        </w:rPr>
        <w:t xml:space="preserve"> відстеження результативності </w:t>
      </w:r>
    </w:p>
    <w:p w:rsidR="00061B2A" w:rsidRPr="0053006C" w:rsidRDefault="00061B2A" w:rsidP="00061B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</w:t>
      </w:r>
      <w:r w:rsidRPr="004470E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Pr="00F153E3">
        <w:rPr>
          <w:rFonts w:ascii="Times New Roman" w:hAnsi="Times New Roman"/>
          <w:b/>
          <w:sz w:val="28"/>
          <w:szCs w:val="28"/>
        </w:rPr>
        <w:t>Положення про порядок створення, реєстрації випуску акцій, видачі банківської ліцензії та генеральної ліцензії на здійснення валютних операцій перехідному банку</w:t>
      </w:r>
      <w:r w:rsidRPr="00D41936">
        <w:rPr>
          <w:rFonts w:ascii="Times New Roman" w:hAnsi="Times New Roman"/>
          <w:b/>
          <w:sz w:val="28"/>
          <w:szCs w:val="28"/>
        </w:rPr>
        <w:t>»</w:t>
      </w:r>
    </w:p>
    <w:p w:rsidR="00061B2A" w:rsidRPr="00317571" w:rsidRDefault="00061B2A" w:rsidP="005026EE">
      <w:pPr>
        <w:ind w:firstLine="426"/>
      </w:pPr>
    </w:p>
    <w:p w:rsidR="00061B2A" w:rsidRPr="0033222D" w:rsidRDefault="00061B2A" w:rsidP="005026EE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right="-86" w:firstLine="42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061B2A" w:rsidRPr="00F153E3" w:rsidRDefault="00061B2A" w:rsidP="005026EE">
      <w:pPr>
        <w:pStyle w:val="NormalText"/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 w:rsidRPr="00317571">
        <w:rPr>
          <w:rFonts w:ascii="Times New Roman" w:hAnsi="Times New Roman"/>
          <w:sz w:val="28"/>
          <w:szCs w:val="28"/>
          <w:lang w:val="uk-UA" w:eastAsia="en-US"/>
        </w:rPr>
        <w:t xml:space="preserve">Рішення </w:t>
      </w:r>
      <w:r w:rsidRPr="00F153E3">
        <w:rPr>
          <w:rFonts w:ascii="Times New Roman" w:hAnsi="Times New Roman"/>
          <w:sz w:val="28"/>
          <w:szCs w:val="28"/>
          <w:lang w:val="uk-UA" w:eastAsia="en-US"/>
        </w:rPr>
        <w:t xml:space="preserve">виконавчої дирекції Фонду гарантування вкладів фізичних осіб </w:t>
      </w:r>
      <w:r w:rsidRPr="00F153E3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Pr="00F153E3">
        <w:rPr>
          <w:rFonts w:ascii="Times New Roman" w:hAnsi="Times New Roman"/>
          <w:sz w:val="28"/>
          <w:szCs w:val="28"/>
          <w:lang w:val="uk-UA"/>
        </w:rPr>
        <w:t xml:space="preserve">Положення про порядок створення, реєстрації випуску акцій, видачі банківської ліцензії та генеральної ліцензії на здійснення валютних операцій перехідному банку» від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F153E3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F153E3">
        <w:rPr>
          <w:rFonts w:ascii="Times New Roman" w:hAnsi="Times New Roman"/>
          <w:sz w:val="28"/>
          <w:szCs w:val="28"/>
          <w:lang w:val="uk-UA"/>
        </w:rPr>
        <w:t>.2013 № 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153E3">
        <w:rPr>
          <w:rFonts w:ascii="Times New Roman" w:hAnsi="Times New Roman"/>
          <w:sz w:val="28"/>
          <w:szCs w:val="28"/>
          <w:lang w:val="uk-UA"/>
        </w:rPr>
        <w:t>.</w:t>
      </w:r>
    </w:p>
    <w:p w:rsidR="00061B2A" w:rsidRDefault="00061B2A" w:rsidP="005026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61B2A" w:rsidRPr="0033222D" w:rsidRDefault="00061B2A" w:rsidP="005026EE">
      <w:pPr>
        <w:pStyle w:val="HTML"/>
        <w:numPr>
          <w:ilvl w:val="0"/>
          <w:numId w:val="1"/>
        </w:numPr>
        <w:ind w:left="0" w:right="-86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061B2A" w:rsidRPr="00B64F01" w:rsidRDefault="00061B2A" w:rsidP="005026EE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CC15C5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CC15C5">
        <w:rPr>
          <w:rFonts w:ascii="Times New Roman" w:hAnsi="Times New Roman"/>
          <w:sz w:val="28"/>
          <w:szCs w:val="28"/>
          <w:lang w:val="uk-UA"/>
        </w:rPr>
        <w:t>.</w:t>
      </w:r>
    </w:p>
    <w:p w:rsidR="00061B2A" w:rsidRPr="00B64F01" w:rsidRDefault="00061B2A" w:rsidP="005026EE">
      <w:pPr>
        <w:pStyle w:val="NormalText"/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B6BDC" w:rsidRDefault="00061B2A" w:rsidP="005026EE">
      <w:pPr>
        <w:pStyle w:val="HTML"/>
        <w:numPr>
          <w:ilvl w:val="0"/>
          <w:numId w:val="1"/>
        </w:numPr>
        <w:spacing w:after="120"/>
        <w:ind w:left="0" w:right="-85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BB6BDC" w:rsidRPr="00BB6BDC" w:rsidRDefault="00BB6BDC" w:rsidP="005026EE">
      <w:pPr>
        <w:pStyle w:val="HTML"/>
        <w:spacing w:after="120"/>
        <w:ind w:right="-85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proofErr w:type="gramStart"/>
      <w:r w:rsidRPr="00BB6BDC">
        <w:rPr>
          <w:rFonts w:ascii="Times New Roman" w:hAnsi="Times New Roman"/>
          <w:sz w:val="28"/>
          <w:szCs w:val="28"/>
        </w:rPr>
        <w:t>Регуляторний</w:t>
      </w:r>
      <w:proofErr w:type="spellEnd"/>
      <w:r w:rsidRPr="00BB6BDC">
        <w:rPr>
          <w:rFonts w:ascii="Times New Roman" w:hAnsi="Times New Roman"/>
          <w:sz w:val="28"/>
          <w:szCs w:val="28"/>
        </w:rPr>
        <w:t xml:space="preserve"> акт </w:t>
      </w:r>
      <w:proofErr w:type="spellStart"/>
      <w:r w:rsidRPr="00BB6BDC">
        <w:rPr>
          <w:rFonts w:ascii="Times New Roman" w:hAnsi="Times New Roman"/>
          <w:sz w:val="28"/>
          <w:szCs w:val="28"/>
        </w:rPr>
        <w:t>спрямований</w:t>
      </w:r>
      <w:proofErr w:type="spellEnd"/>
      <w:r w:rsidRPr="00BB6BDC">
        <w:rPr>
          <w:rFonts w:ascii="Times New Roman" w:hAnsi="Times New Roman"/>
          <w:sz w:val="28"/>
          <w:szCs w:val="28"/>
        </w:rPr>
        <w:t xml:space="preserve"> на визначення порядку створення перехідного банку, особливостей реєстрації  Національною комісією з цінних паперів та фондового ринку  випуску акцій та процедури видачі Національним банком України банківської ліцензії та генеральної ліцензії на здійснення валютних операцій перехідному банку, що у свою чергу забезпечить  як</w:t>
      </w:r>
      <w:proofErr w:type="gramEnd"/>
      <w:r w:rsidRPr="00BB6BDC">
        <w:rPr>
          <w:rFonts w:ascii="Times New Roman" w:hAnsi="Times New Roman"/>
          <w:sz w:val="28"/>
          <w:szCs w:val="28"/>
        </w:rPr>
        <w:t>і</w:t>
      </w:r>
      <w:proofErr w:type="gramStart"/>
      <w:r w:rsidRPr="00BB6BDC">
        <w:rPr>
          <w:rFonts w:ascii="Times New Roman" w:hAnsi="Times New Roman"/>
          <w:sz w:val="28"/>
          <w:szCs w:val="28"/>
        </w:rPr>
        <w:t>сне</w:t>
      </w:r>
      <w:proofErr w:type="gramEnd"/>
      <w:r w:rsidRPr="00BB6BDC">
        <w:rPr>
          <w:rFonts w:ascii="Times New Roman" w:hAnsi="Times New Roman"/>
          <w:sz w:val="28"/>
          <w:szCs w:val="28"/>
        </w:rPr>
        <w:t xml:space="preserve">  виведення неплатоспроможного банку з ринку шляхом передачі частини його активів та зобов’язань перехідному банку з подальшим  продажем такого перехідного банку інвестору.</w:t>
      </w:r>
    </w:p>
    <w:p w:rsidR="00061B2A" w:rsidRPr="008742D6" w:rsidRDefault="00061B2A" w:rsidP="005026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61B2A" w:rsidRDefault="00061B2A" w:rsidP="005026EE">
      <w:pPr>
        <w:pStyle w:val="NormalText"/>
        <w:numPr>
          <w:ilvl w:val="0"/>
          <w:numId w:val="1"/>
        </w:numPr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061B2A" w:rsidRPr="00C10652" w:rsidRDefault="00061B2A" w:rsidP="005026EE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C10652">
        <w:rPr>
          <w:rFonts w:ascii="Times New Roman" w:hAnsi="Times New Roman"/>
          <w:sz w:val="28"/>
          <w:szCs w:val="28"/>
          <w:lang w:val="uk-UA"/>
        </w:rPr>
        <w:t xml:space="preserve">Базове відстеження результативності регуляторного акта проводилось з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B6BDC">
        <w:rPr>
          <w:rFonts w:ascii="Times New Roman" w:hAnsi="Times New Roman"/>
          <w:sz w:val="28"/>
          <w:szCs w:val="28"/>
          <w:lang w:val="uk-UA"/>
        </w:rPr>
        <w:t>22 п</w:t>
      </w:r>
      <w:r w:rsidR="00BB6BDC" w:rsidRPr="00445504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BB6BDC">
        <w:rPr>
          <w:rFonts w:ascii="Times New Roman" w:hAnsi="Times New Roman"/>
          <w:sz w:val="28"/>
          <w:szCs w:val="28"/>
          <w:lang w:val="uk-UA"/>
        </w:rPr>
        <w:t>26 серпня</w:t>
      </w:r>
      <w:r w:rsidR="00BB6BDC" w:rsidRPr="00445504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BB6BDC">
        <w:rPr>
          <w:rFonts w:ascii="Times New Roman" w:hAnsi="Times New Roman"/>
          <w:sz w:val="28"/>
          <w:szCs w:val="28"/>
          <w:lang w:val="uk-UA"/>
        </w:rPr>
        <w:t>3</w:t>
      </w:r>
      <w:r w:rsidR="00BB6BDC" w:rsidRPr="0044550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C10652">
        <w:rPr>
          <w:rFonts w:ascii="Times New Roman" w:hAnsi="Times New Roman"/>
          <w:sz w:val="28"/>
          <w:szCs w:val="28"/>
          <w:lang w:val="uk-UA"/>
        </w:rPr>
        <w:t>.</w:t>
      </w:r>
    </w:p>
    <w:p w:rsidR="00061B2A" w:rsidRDefault="00061B2A" w:rsidP="005026EE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Повторне</w:t>
      </w:r>
      <w:r w:rsidRPr="00CC15C5">
        <w:rPr>
          <w:rFonts w:ascii="Times New Roman" w:hAnsi="Times New Roman"/>
          <w:sz w:val="28"/>
          <w:szCs w:val="28"/>
          <w:lang w:val="uk-UA"/>
        </w:rPr>
        <w:t xml:space="preserve"> відстеження результативності регуляторного акта проводилось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337A1"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 xml:space="preserve"> серпня по </w:t>
      </w:r>
      <w:r w:rsidR="008337A1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7A1">
        <w:rPr>
          <w:rFonts w:ascii="Times New Roman" w:hAnsi="Times New Roman"/>
          <w:sz w:val="28"/>
          <w:szCs w:val="28"/>
          <w:lang w:val="uk-UA"/>
        </w:rPr>
        <w:t>серпня 2015</w:t>
      </w:r>
      <w:r w:rsidRPr="00CC15C5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061B2A" w:rsidRPr="00CC15C5" w:rsidRDefault="00061B2A" w:rsidP="005026EE">
      <w:pPr>
        <w:pStyle w:val="NormalText"/>
        <w:ind w:firstLine="426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061B2A" w:rsidRPr="0033222D" w:rsidRDefault="00061B2A" w:rsidP="005026EE">
      <w:pPr>
        <w:pStyle w:val="NormalText"/>
        <w:numPr>
          <w:ilvl w:val="0"/>
          <w:numId w:val="1"/>
        </w:numPr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061B2A" w:rsidRDefault="00061B2A" w:rsidP="005026EE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Повторне</w:t>
      </w:r>
      <w:r w:rsidRPr="0033222D">
        <w:rPr>
          <w:rFonts w:ascii="Times New Roman" w:hAnsi="Times New Roman"/>
          <w:sz w:val="28"/>
          <w:szCs w:val="28"/>
          <w:lang w:val="uk-UA"/>
        </w:rPr>
        <w:t xml:space="preserve"> відстеження.</w:t>
      </w:r>
    </w:p>
    <w:p w:rsidR="00061B2A" w:rsidRDefault="00061B2A" w:rsidP="005026EE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061B2A" w:rsidRPr="0033222D" w:rsidRDefault="00061B2A" w:rsidP="005026EE">
      <w:pPr>
        <w:pStyle w:val="NormalText"/>
        <w:numPr>
          <w:ilvl w:val="0"/>
          <w:numId w:val="1"/>
        </w:numPr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061B2A" w:rsidRPr="00D41936" w:rsidRDefault="00061B2A" w:rsidP="007768E2">
      <w:pPr>
        <w:pStyle w:val="NormalText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 w:rsidRPr="00FA1A09">
        <w:rPr>
          <w:rFonts w:ascii="Times New Roman" w:hAnsi="Times New Roman"/>
          <w:sz w:val="28"/>
          <w:szCs w:val="28"/>
          <w:lang w:val="uk-UA"/>
        </w:rPr>
        <w:t xml:space="preserve">Основним методом з відстеження результативності регуляторного акта є аналіз практики </w:t>
      </w:r>
      <w:r w:rsidR="00AC4E2F">
        <w:rPr>
          <w:rFonts w:ascii="Times New Roman" w:hAnsi="Times New Roman"/>
          <w:sz w:val="28"/>
          <w:szCs w:val="28"/>
          <w:lang w:val="uk-UA"/>
        </w:rPr>
        <w:t>Фонду гарантування вкладів щодо створення перехідного банку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61B2A" w:rsidRPr="004E5D52" w:rsidRDefault="00061B2A" w:rsidP="007768E2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061B2A" w:rsidRPr="005026EE" w:rsidRDefault="00061B2A" w:rsidP="007768E2">
      <w:pPr>
        <w:pStyle w:val="NormalText"/>
        <w:numPr>
          <w:ilvl w:val="0"/>
          <w:numId w:val="1"/>
        </w:numPr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 також способи одержання даних </w:t>
      </w:r>
    </w:p>
    <w:p w:rsidR="007768E2" w:rsidRDefault="007768E2" w:rsidP="007768E2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C043DF">
        <w:rPr>
          <w:rFonts w:ascii="Times New Roman" w:hAnsi="Times New Roman"/>
          <w:sz w:val="28"/>
          <w:szCs w:val="28"/>
          <w:lang w:val="uk-UA"/>
        </w:rPr>
        <w:t>Результативність регуляторного акту відстежувалась на підставі</w:t>
      </w:r>
      <w:r>
        <w:rPr>
          <w:rFonts w:ascii="Times New Roman" w:hAnsi="Times New Roman"/>
          <w:sz w:val="28"/>
          <w:szCs w:val="28"/>
          <w:lang w:val="uk-UA"/>
        </w:rPr>
        <w:t xml:space="preserve"> аналізу:</w:t>
      </w:r>
    </w:p>
    <w:p w:rsidR="007768E2" w:rsidRDefault="007768E2" w:rsidP="007768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можливості належним чином захистити права і законні інтереси вкладників  шляхом передачі зобов’язань за вкладами фізичних осіб, що гарантуються Фондом, перехідному банку у повному обсязі.</w:t>
      </w:r>
    </w:p>
    <w:p w:rsidR="007768E2" w:rsidRPr="001F7B0C" w:rsidRDefault="007768E2" w:rsidP="007768E2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кількості створених перехідних банків.</w:t>
      </w:r>
    </w:p>
    <w:p w:rsidR="007768E2" w:rsidRPr="007768E2" w:rsidRDefault="007768E2" w:rsidP="007768E2">
      <w:pPr>
        <w:pStyle w:val="NormalText"/>
        <w:ind w:firstLine="426"/>
        <w:rPr>
          <w:rFonts w:ascii="Times New Roman" w:hAnsi="Times New Roman"/>
          <w:b/>
          <w:sz w:val="28"/>
          <w:szCs w:val="28"/>
          <w:lang w:val="uk-UA"/>
        </w:rPr>
      </w:pPr>
    </w:p>
    <w:p w:rsidR="00061B2A" w:rsidRPr="004E5D52" w:rsidRDefault="00061B2A" w:rsidP="007768E2">
      <w:pPr>
        <w:pStyle w:val="NormalText"/>
        <w:numPr>
          <w:ilvl w:val="0"/>
          <w:numId w:val="1"/>
        </w:numPr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C043DF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  <w:r w:rsidRPr="004E5D52">
        <w:rPr>
          <w:rFonts w:ascii="Times New Roman" w:hAnsi="Times New Roman"/>
          <w:i/>
          <w:color w:val="17365D"/>
          <w:sz w:val="28"/>
          <w:szCs w:val="28"/>
          <w:lang w:val="ru-RU"/>
        </w:rPr>
        <w:t xml:space="preserve"> </w:t>
      </w:r>
    </w:p>
    <w:p w:rsidR="007768E2" w:rsidRPr="007768E2" w:rsidRDefault="0091408B" w:rsidP="0091408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68E2" w:rsidRPr="007768E2">
        <w:rPr>
          <w:rFonts w:ascii="Times New Roman" w:hAnsi="Times New Roman"/>
          <w:sz w:val="28"/>
          <w:szCs w:val="28"/>
        </w:rPr>
        <w:t xml:space="preserve">У період з серпня 2013 по серпень 2015 Фондом гарантування вкладів фізичних осіб було створено два перехідних банки: ПАТ </w:t>
      </w:r>
      <w:r w:rsidR="007768E2" w:rsidRPr="007768E2">
        <w:rPr>
          <w:rFonts w:ascii="Times New Roman" w:hAnsi="Times New Roman"/>
          <w:sz w:val="28"/>
          <w:szCs w:val="28"/>
          <w:shd w:val="clear" w:color="auto" w:fill="FFFFFF"/>
        </w:rPr>
        <w:t>“</w:t>
      </w:r>
      <w:r w:rsidR="007768E2" w:rsidRPr="007768E2">
        <w:rPr>
          <w:rStyle w:val="caps"/>
          <w:rFonts w:ascii="Times New Roman" w:hAnsi="Times New Roman" w:cs="Times New Roman"/>
          <w:sz w:val="28"/>
          <w:szCs w:val="28"/>
          <w:shd w:val="clear" w:color="auto" w:fill="FFFFFF"/>
        </w:rPr>
        <w:t>РВС</w:t>
      </w:r>
      <w:r w:rsidR="007768E2" w:rsidRPr="00776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768E2" w:rsidRPr="007768E2">
        <w:rPr>
          <w:rFonts w:ascii="Times New Roman" w:hAnsi="Times New Roman"/>
          <w:sz w:val="28"/>
          <w:szCs w:val="28"/>
          <w:shd w:val="clear" w:color="auto" w:fill="FFFFFF"/>
        </w:rPr>
        <w:t>Банк”</w:t>
      </w:r>
      <w:proofErr w:type="spellEnd"/>
      <w:r w:rsidR="007768E2" w:rsidRPr="007768E2">
        <w:rPr>
          <w:rFonts w:ascii="Times New Roman" w:hAnsi="Times New Roman"/>
          <w:sz w:val="28"/>
          <w:szCs w:val="28"/>
          <w:shd w:val="clear" w:color="auto" w:fill="FFFFFF"/>
        </w:rPr>
        <w:t xml:space="preserve"> та ПАТ «КРИСТАЛБАНК». </w:t>
      </w:r>
    </w:p>
    <w:p w:rsidR="00DC749C" w:rsidRDefault="00DC749C" w:rsidP="007768E2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Відповідно до законодавства зобов’язання</w:t>
      </w:r>
      <w:r w:rsidR="007768E2">
        <w:rPr>
          <w:sz w:val="28"/>
          <w:szCs w:val="28"/>
          <w:lang w:eastAsia="ru-RU"/>
        </w:rPr>
        <w:t xml:space="preserve"> неплатоспроможних банків</w:t>
      </w:r>
      <w:r>
        <w:rPr>
          <w:sz w:val="28"/>
          <w:szCs w:val="28"/>
          <w:lang w:eastAsia="ru-RU"/>
        </w:rPr>
        <w:t xml:space="preserve"> за вкладами фізичних осіб, гарантовані Фондом</w:t>
      </w:r>
      <w:r w:rsidR="007768E2">
        <w:rPr>
          <w:sz w:val="28"/>
          <w:szCs w:val="28"/>
          <w:lang w:eastAsia="ru-RU"/>
        </w:rPr>
        <w:t>, як</w:t>
      </w:r>
      <w:r>
        <w:rPr>
          <w:sz w:val="28"/>
          <w:szCs w:val="28"/>
          <w:lang w:eastAsia="ru-RU"/>
        </w:rPr>
        <w:t>і,</w:t>
      </w:r>
      <w:r w:rsidR="007768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відповідно до </w:t>
      </w:r>
      <w:r w:rsidR="007768E2">
        <w:rPr>
          <w:sz w:val="28"/>
          <w:szCs w:val="28"/>
          <w:lang w:eastAsia="ru-RU"/>
        </w:rPr>
        <w:t>рішення виконавч</w:t>
      </w:r>
      <w:r>
        <w:rPr>
          <w:sz w:val="28"/>
          <w:szCs w:val="28"/>
          <w:lang w:eastAsia="ru-RU"/>
        </w:rPr>
        <w:t>ої</w:t>
      </w:r>
      <w:r w:rsidR="007768E2">
        <w:rPr>
          <w:sz w:val="28"/>
          <w:szCs w:val="28"/>
          <w:lang w:eastAsia="ru-RU"/>
        </w:rPr>
        <w:t xml:space="preserve"> дирекці</w:t>
      </w:r>
      <w:r>
        <w:rPr>
          <w:sz w:val="28"/>
          <w:szCs w:val="28"/>
          <w:lang w:eastAsia="ru-RU"/>
        </w:rPr>
        <w:t>ї</w:t>
      </w:r>
      <w:r w:rsidR="007768E2">
        <w:rPr>
          <w:sz w:val="28"/>
          <w:szCs w:val="28"/>
          <w:lang w:eastAsia="ru-RU"/>
        </w:rPr>
        <w:t xml:space="preserve"> Фонду гарантування вкладів фізичних осіб</w:t>
      </w:r>
      <w:r>
        <w:rPr>
          <w:sz w:val="28"/>
          <w:szCs w:val="28"/>
          <w:lang w:eastAsia="ru-RU"/>
        </w:rPr>
        <w:t xml:space="preserve">, мали бути </w:t>
      </w:r>
      <w:r w:rsidR="007768E2">
        <w:rPr>
          <w:sz w:val="28"/>
          <w:szCs w:val="28"/>
          <w:lang w:eastAsia="ru-RU"/>
        </w:rPr>
        <w:t>виведен</w:t>
      </w:r>
      <w:r>
        <w:rPr>
          <w:sz w:val="28"/>
          <w:szCs w:val="28"/>
          <w:lang w:eastAsia="ru-RU"/>
        </w:rPr>
        <w:t xml:space="preserve">і </w:t>
      </w:r>
      <w:r w:rsidR="007768E2">
        <w:rPr>
          <w:sz w:val="28"/>
          <w:szCs w:val="28"/>
          <w:lang w:eastAsia="ru-RU"/>
        </w:rPr>
        <w:t>з ринку шляхом створення перехідного банк</w:t>
      </w:r>
      <w:r>
        <w:rPr>
          <w:sz w:val="28"/>
          <w:szCs w:val="28"/>
          <w:lang w:eastAsia="ru-RU"/>
        </w:rPr>
        <w:t>у</w:t>
      </w:r>
      <w:r w:rsidR="007768E2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були передані таким перехідним банкам у повному обсязі. </w:t>
      </w:r>
    </w:p>
    <w:p w:rsidR="00DC749C" w:rsidRDefault="00DC749C" w:rsidP="007768E2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  <w:lang w:eastAsia="ru-RU"/>
        </w:rPr>
      </w:pPr>
    </w:p>
    <w:p w:rsidR="00061B2A" w:rsidRPr="00B27885" w:rsidRDefault="00061B2A" w:rsidP="007768E2">
      <w:pPr>
        <w:pStyle w:val="NormalText"/>
        <w:numPr>
          <w:ilvl w:val="0"/>
          <w:numId w:val="1"/>
        </w:numPr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061B2A" w:rsidRPr="00B27885" w:rsidRDefault="00061B2A" w:rsidP="007768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27885">
        <w:rPr>
          <w:rFonts w:ascii="Times New Roman" w:hAnsi="Times New Roman"/>
          <w:sz w:val="28"/>
          <w:szCs w:val="28"/>
        </w:rPr>
        <w:t>Прийняття акта забезпечило:</w:t>
      </w:r>
    </w:p>
    <w:p w:rsidR="00061B2A" w:rsidRDefault="00061B2A" w:rsidP="007768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27885">
        <w:rPr>
          <w:rFonts w:ascii="Times New Roman" w:hAnsi="Times New Roman"/>
          <w:sz w:val="28"/>
          <w:szCs w:val="28"/>
        </w:rPr>
        <w:t>реалізацію норм Закону України «Про систему гарантування вкладів фізичних осіб»;</w:t>
      </w:r>
    </w:p>
    <w:p w:rsidR="00037303" w:rsidRPr="00B27885" w:rsidRDefault="00037303" w:rsidP="007768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узгодженість дій Національного банку України, Фонду гарантування вкладів фізичних осіб та Національної комісії з цінних паперів та фондового ринку під час створення перехідного банку. </w:t>
      </w:r>
    </w:p>
    <w:p w:rsidR="00061B2A" w:rsidRDefault="00061B2A" w:rsidP="00061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61B2A" w:rsidRDefault="00061B2A" w:rsidP="00061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1B2A" w:rsidRPr="008D5B42" w:rsidRDefault="00061B2A" w:rsidP="00061B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5B42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8D5B42">
        <w:rPr>
          <w:rFonts w:ascii="Times New Roman" w:eastAsia="Times New Roman" w:hAnsi="Times New Roman"/>
          <w:b/>
          <w:sz w:val="28"/>
          <w:szCs w:val="28"/>
        </w:rPr>
        <w:tab/>
      </w:r>
      <w:r w:rsidRPr="008D5B42">
        <w:rPr>
          <w:rFonts w:ascii="Times New Roman" w:eastAsia="Times New Roman" w:hAnsi="Times New Roman"/>
          <w:b/>
          <w:sz w:val="28"/>
          <w:szCs w:val="28"/>
        </w:rPr>
        <w:tab/>
      </w:r>
      <w:r w:rsidRPr="008D5B42">
        <w:rPr>
          <w:rFonts w:ascii="Times New Roman" w:eastAsia="Times New Roman" w:hAnsi="Times New Roman"/>
          <w:b/>
          <w:sz w:val="28"/>
          <w:szCs w:val="28"/>
        </w:rPr>
        <w:tab/>
      </w:r>
      <w:r w:rsidRPr="008D5B42">
        <w:rPr>
          <w:rFonts w:ascii="Times New Roman" w:eastAsia="Times New Roman" w:hAnsi="Times New Roman"/>
          <w:b/>
          <w:sz w:val="28"/>
          <w:szCs w:val="28"/>
        </w:rPr>
        <w:tab/>
      </w:r>
      <w:r w:rsidRPr="008D5B42">
        <w:rPr>
          <w:rFonts w:ascii="Times New Roman" w:eastAsia="Times New Roman" w:hAnsi="Times New Roman"/>
          <w:b/>
          <w:sz w:val="28"/>
          <w:szCs w:val="28"/>
        </w:rPr>
        <w:tab/>
      </w:r>
      <w:r w:rsidRPr="008D5B42">
        <w:rPr>
          <w:rFonts w:ascii="Times New Roman" w:eastAsia="Times New Roman" w:hAnsi="Times New Roman"/>
          <w:b/>
          <w:sz w:val="28"/>
          <w:szCs w:val="28"/>
        </w:rPr>
        <w:tab/>
      </w:r>
      <w:r w:rsidR="00037303">
        <w:rPr>
          <w:rFonts w:ascii="Times New Roman" w:eastAsia="Times New Roman" w:hAnsi="Times New Roman"/>
          <w:b/>
          <w:sz w:val="28"/>
          <w:szCs w:val="28"/>
        </w:rPr>
        <w:t xml:space="preserve">К.М. </w:t>
      </w:r>
      <w:proofErr w:type="spellStart"/>
      <w:r w:rsidR="00037303">
        <w:rPr>
          <w:rFonts w:ascii="Times New Roman" w:eastAsia="Times New Roman" w:hAnsi="Times New Roman"/>
          <w:b/>
          <w:sz w:val="28"/>
          <w:szCs w:val="28"/>
        </w:rPr>
        <w:t>Ворушилін</w:t>
      </w:r>
      <w:proofErr w:type="spellEnd"/>
    </w:p>
    <w:p w:rsidR="00061B2A" w:rsidRDefault="00061B2A" w:rsidP="00061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61B2A" w:rsidRPr="00364582" w:rsidRDefault="00061B2A" w:rsidP="00061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61B2A" w:rsidRDefault="00061B2A" w:rsidP="00061B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61B2A" w:rsidRDefault="00061B2A" w:rsidP="00061B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61B2A" w:rsidRPr="00305C0E" w:rsidRDefault="00061B2A" w:rsidP="00061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DF4" w:rsidRDefault="00A30DF4">
      <w:pPr>
        <w:rPr>
          <w:lang w:val="en-US"/>
        </w:rPr>
      </w:pPr>
    </w:p>
    <w:p w:rsidR="007324D1" w:rsidRDefault="007324D1">
      <w:pPr>
        <w:rPr>
          <w:lang w:val="en-US"/>
        </w:rPr>
      </w:pPr>
    </w:p>
    <w:p w:rsidR="007324D1" w:rsidRDefault="007324D1">
      <w:pPr>
        <w:rPr>
          <w:lang w:val="en-US"/>
        </w:rPr>
      </w:pPr>
    </w:p>
    <w:p w:rsidR="007324D1" w:rsidRDefault="007324D1">
      <w:pPr>
        <w:rPr>
          <w:lang w:val="en-US"/>
        </w:rPr>
      </w:pPr>
    </w:p>
    <w:p w:rsidR="007324D1" w:rsidRDefault="007324D1">
      <w:pPr>
        <w:rPr>
          <w:lang w:val="en-US"/>
        </w:rPr>
      </w:pPr>
    </w:p>
    <w:p w:rsidR="007324D1" w:rsidRDefault="007324D1">
      <w:pPr>
        <w:rPr>
          <w:lang w:val="en-US"/>
        </w:rPr>
      </w:pPr>
    </w:p>
    <w:p w:rsidR="007324D1" w:rsidRDefault="007324D1">
      <w:pPr>
        <w:rPr>
          <w:lang w:val="en-US"/>
        </w:rPr>
      </w:pPr>
    </w:p>
    <w:p w:rsidR="007324D1" w:rsidRDefault="007324D1">
      <w:pPr>
        <w:rPr>
          <w:lang w:val="en-US"/>
        </w:rPr>
      </w:pPr>
    </w:p>
    <w:p w:rsidR="007324D1" w:rsidRDefault="007324D1">
      <w:pPr>
        <w:rPr>
          <w:lang w:val="en-US"/>
        </w:rPr>
      </w:pPr>
    </w:p>
    <w:p w:rsidR="007324D1" w:rsidRDefault="007324D1">
      <w:pPr>
        <w:rPr>
          <w:lang w:val="en-US"/>
        </w:rPr>
      </w:pPr>
    </w:p>
    <w:p w:rsidR="007324D1" w:rsidRDefault="007324D1">
      <w:pPr>
        <w:rPr>
          <w:lang w:val="en-US"/>
        </w:rPr>
      </w:pPr>
    </w:p>
    <w:p w:rsidR="007324D1" w:rsidRDefault="007324D1">
      <w:pPr>
        <w:rPr>
          <w:lang w:val="en-US"/>
        </w:rPr>
      </w:pPr>
    </w:p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7324D1" w:rsidTr="007324D1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D1" w:rsidRDefault="00732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7324D1" w:rsidRDefault="00732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D1" w:rsidRDefault="00732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D1" w:rsidRDefault="00732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D1" w:rsidRDefault="00732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7324D1" w:rsidTr="007324D1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D1" w:rsidRDefault="0073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D1" w:rsidRDefault="0073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D1" w:rsidRDefault="0073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D1" w:rsidRDefault="0073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324D1" w:rsidTr="007324D1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D1" w:rsidRDefault="0073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D1" w:rsidRDefault="0073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D1" w:rsidRDefault="0073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D1" w:rsidRDefault="0073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324D1" w:rsidTr="007324D1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D1" w:rsidRDefault="0073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D1" w:rsidRDefault="0073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D1" w:rsidRDefault="0073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D1" w:rsidRDefault="0073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324D1" w:rsidRDefault="007324D1">
      <w:pPr>
        <w:rPr>
          <w:lang w:val="en-US"/>
        </w:rPr>
      </w:pPr>
    </w:p>
    <w:sectPr w:rsidR="007324D1" w:rsidSect="00E86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0E37"/>
    <w:multiLevelType w:val="hybridMultilevel"/>
    <w:tmpl w:val="84E61430"/>
    <w:lvl w:ilvl="0" w:tplc="F4E69D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690070"/>
    <w:multiLevelType w:val="hybridMultilevel"/>
    <w:tmpl w:val="D618F1B8"/>
    <w:lvl w:ilvl="0" w:tplc="822077BC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1B2A"/>
    <w:rsid w:val="00037303"/>
    <w:rsid w:val="00061B2A"/>
    <w:rsid w:val="005026EE"/>
    <w:rsid w:val="007324D1"/>
    <w:rsid w:val="007768E2"/>
    <w:rsid w:val="008337A1"/>
    <w:rsid w:val="0091408B"/>
    <w:rsid w:val="009E4D8D"/>
    <w:rsid w:val="00A30DF4"/>
    <w:rsid w:val="00AC4E2F"/>
    <w:rsid w:val="00AD09C1"/>
    <w:rsid w:val="00BB6BDC"/>
    <w:rsid w:val="00DA12E6"/>
    <w:rsid w:val="00DC749C"/>
    <w:rsid w:val="00FC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1B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61B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61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61B2A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061B2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ormalText">
    <w:name w:val="Normal Text"/>
    <w:basedOn w:val="a"/>
    <w:uiPriority w:val="99"/>
    <w:rsid w:val="00061B2A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06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a0"/>
    <w:rsid w:val="005026EE"/>
  </w:style>
  <w:style w:type="character" w:customStyle="1" w:styleId="apple-converted-space">
    <w:name w:val="apple-converted-space"/>
    <w:basedOn w:val="a0"/>
    <w:rsid w:val="00502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2171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3</cp:revision>
  <cp:lastPrinted>2016-06-21T11:00:00Z</cp:lastPrinted>
  <dcterms:created xsi:type="dcterms:W3CDTF">2016-02-02T09:27:00Z</dcterms:created>
  <dcterms:modified xsi:type="dcterms:W3CDTF">2016-06-21T11:01:00Z</dcterms:modified>
</cp:coreProperties>
</file>