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B9" w:rsidRPr="00BD222C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2F59B9" w:rsidRPr="00090EBD" w:rsidRDefault="002F59B9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2F59B9" w:rsidRPr="00090EBD" w:rsidRDefault="002F59B9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2F59B9" w:rsidRPr="003B54EC" w:rsidRDefault="002F59B9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3B54EC">
        <w:rPr>
          <w:rFonts w:ascii="Times New Roman" w:hAnsi="Times New Roman"/>
          <w:b/>
          <w:sz w:val="28"/>
          <w:szCs w:val="24"/>
        </w:rPr>
        <w:t>АТ «</w:t>
      </w:r>
      <w:r>
        <w:rPr>
          <w:rFonts w:ascii="Times New Roman" w:hAnsi="Times New Roman"/>
          <w:b/>
          <w:sz w:val="28"/>
          <w:szCs w:val="24"/>
        </w:rPr>
        <w:t>КРЕДИТПРОМБАНК</w:t>
      </w:r>
      <w:r w:rsidRPr="003B54EC">
        <w:rPr>
          <w:rFonts w:ascii="Times New Roman" w:hAnsi="Times New Roman"/>
          <w:b/>
          <w:sz w:val="28"/>
          <w:szCs w:val="24"/>
        </w:rPr>
        <w:t>»</w:t>
      </w:r>
      <w:r w:rsidRPr="003B54EC">
        <w:rPr>
          <w:rFonts w:ascii="Times New Roman" w:hAnsi="Times New Roman"/>
          <w:b/>
          <w:sz w:val="28"/>
        </w:rPr>
        <w:t>,</w:t>
      </w:r>
    </w:p>
    <w:p w:rsidR="002F59B9" w:rsidRPr="00090EBD" w:rsidRDefault="002F59B9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 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2F59B9" w:rsidRPr="00955310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3B54EC">
        <w:rPr>
          <w:rFonts w:ascii="Times New Roman" w:hAnsi="Times New Roman"/>
          <w:b w:val="0"/>
          <w:sz w:val="28"/>
          <w:szCs w:val="24"/>
        </w:rPr>
        <w:t>АТ «</w:t>
      </w:r>
      <w:r>
        <w:rPr>
          <w:rFonts w:ascii="Times New Roman" w:hAnsi="Times New Roman"/>
          <w:b w:val="0"/>
          <w:sz w:val="28"/>
          <w:szCs w:val="24"/>
        </w:rPr>
        <w:t>КРЕДИТПРОМБАНК</w:t>
      </w:r>
      <w:r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F59B9" w:rsidRPr="00C530CD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 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F59B9" w:rsidRPr="004809B9" w:rsidRDefault="002F59B9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 будуть повідомлені кваліфікованим інвесторам засобами еле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 на зазначену в картці потенційного інвестора адресу.</w:t>
      </w:r>
    </w:p>
    <w:p w:rsidR="002F59B9" w:rsidRDefault="002F59B9" w:rsidP="00EE0CCA">
      <w:pPr>
        <w:ind w:firstLine="993"/>
        <w:jc w:val="both"/>
        <w:rPr>
          <w:rFonts w:ascii="Times New Roman" w:hAnsi="Times New Roman"/>
          <w:kern w:val="32"/>
          <w:sz w:val="28"/>
          <w:szCs w:val="28"/>
        </w:rPr>
      </w:pPr>
      <w:r w:rsidRPr="004809B9">
        <w:rPr>
          <w:rFonts w:ascii="Times New Roman" w:hAnsi="Times New Roman"/>
          <w:kern w:val="32"/>
          <w:sz w:val="28"/>
          <w:szCs w:val="28"/>
          <w:lang w:val="ru-RU"/>
        </w:rPr>
        <w:t>4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Конкурсні пропозиції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>
        <w:rPr>
          <w:rFonts w:ascii="Times New Roman" w:hAnsi="Times New Roman"/>
          <w:sz w:val="28"/>
          <w:szCs w:val="28"/>
        </w:rPr>
        <w:t>)</w:t>
      </w:r>
      <w:r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2F59B9" w:rsidRDefault="002F59B9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>
        <w:rPr>
          <w:rFonts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</w:rPr>
        <w:t> 000 000 грн. (сорок мільйонів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 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П</w:t>
      </w:r>
      <w:r>
        <w:rPr>
          <w:rFonts w:ascii="Times New Roman" w:hAnsi="Times New Roman"/>
          <w:sz w:val="28"/>
          <w:szCs w:val="24"/>
        </w:rPr>
        <w:t>АТ «КРЕДИТПРОМБАНК»</w:t>
      </w:r>
      <w:r>
        <w:rPr>
          <w:rFonts w:ascii="Times New Roman" w:hAnsi="Times New Roman"/>
          <w:sz w:val="28"/>
          <w:szCs w:val="28"/>
        </w:rPr>
        <w:t xml:space="preserve"> з ринку».</w:t>
      </w:r>
    </w:p>
    <w:p w:rsidR="002F59B9" w:rsidRPr="004809B9" w:rsidRDefault="002F59B9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2F59B9" w:rsidRDefault="002F59B9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Учасник конкурсу-кваліфікований інвестор разом із конкурсною пропозицією подає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 xml:space="preserve">письмове зобов’язання щодо придбання </w:t>
      </w:r>
      <w:r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Pr="00C530CD">
        <w:rPr>
          <w:rFonts w:ascii="Times New Roman" w:hAnsi="Times New Roman"/>
          <w:sz w:val="28"/>
          <w:szCs w:val="28"/>
        </w:rPr>
        <w:t xml:space="preserve">акцій </w:t>
      </w:r>
      <w:r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Pr="00C530CD">
        <w:rPr>
          <w:rFonts w:ascii="Times New Roman" w:hAnsi="Times New Roman"/>
          <w:sz w:val="28"/>
          <w:szCs w:val="28"/>
        </w:rPr>
        <w:t xml:space="preserve"> в разі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>виз</w:t>
      </w:r>
      <w:r>
        <w:rPr>
          <w:rFonts w:ascii="Times New Roman" w:hAnsi="Times New Roman"/>
          <w:sz w:val="28"/>
          <w:szCs w:val="28"/>
        </w:rPr>
        <w:t xml:space="preserve">нання його переможцем конкурсу за умови </w:t>
      </w:r>
      <w:r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>
        <w:rPr>
          <w:rFonts w:ascii="Times New Roman" w:hAnsi="Times New Roman"/>
          <w:sz w:val="28"/>
          <w:szCs w:val="28"/>
        </w:rPr>
        <w:t xml:space="preserve"> отримання </w:t>
      </w:r>
      <w:r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2F59B9" w:rsidRPr="00083300" w:rsidRDefault="002F59B9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>
        <w:rPr>
          <w:rFonts w:ascii="Times New Roman" w:hAnsi="Times New Roman"/>
          <w:sz w:val="28"/>
          <w:szCs w:val="28"/>
        </w:rPr>
        <w:t>ову адміністрацію неплатоспроможного банку та очікуваних витрат на ліквідацію перехідного банку</w:t>
      </w:r>
      <w:r w:rsidRPr="00083300">
        <w:rPr>
          <w:rFonts w:ascii="Times New Roman" w:hAnsi="Times New Roman"/>
          <w:sz w:val="28"/>
          <w:szCs w:val="28"/>
        </w:rPr>
        <w:t>.</w:t>
      </w:r>
    </w:p>
    <w:p w:rsidR="002F59B9" w:rsidRPr="00A17D26" w:rsidRDefault="002F59B9" w:rsidP="00B6081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417036">
        <w:rPr>
          <w:rFonts w:ascii="Times New Roman" w:hAnsi="Times New Roman"/>
          <w:kern w:val="32"/>
          <w:sz w:val="28"/>
          <w:szCs w:val="28"/>
          <w:lang w:val="ru-RU"/>
        </w:rPr>
        <w:t>7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2F59B9" w:rsidRDefault="002F59B9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2F59B9" w:rsidRPr="00FF3BD8" w:rsidRDefault="002F59B9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Pr="00C34E4F">
        <w:rPr>
          <w:rFonts w:ascii="Times New Roman" w:hAnsi="Times New Roman"/>
          <w:sz w:val="28"/>
          <w:szCs w:val="28"/>
        </w:rPr>
        <w:t>Переможцем</w:t>
      </w:r>
      <w:r>
        <w:rPr>
          <w:rFonts w:ascii="Times New Roman" w:hAnsi="Times New Roman"/>
          <w:sz w:val="28"/>
          <w:szCs w:val="28"/>
        </w:rPr>
        <w:t xml:space="preserve"> конкурсу мож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бути інвестор, який </w:t>
      </w:r>
      <w:r w:rsidRPr="00456B54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в</w:t>
      </w:r>
      <w:r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способом</w:t>
      </w:r>
      <w:r w:rsidRPr="004D39C3">
        <w:rPr>
          <w:rFonts w:ascii="Times New Roman" w:hAnsi="Times New Roman"/>
          <w:sz w:val="28"/>
          <w:szCs w:val="28"/>
        </w:rPr>
        <w:t>, запропонував найвищу ц</w:t>
      </w:r>
      <w:r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2F59B9" w:rsidRPr="004E255B" w:rsidRDefault="002F59B9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гарантуваннявкладів, які на момент передачі приймаючому банку не будуть виплачені Фондомгарантування;</w:t>
      </w:r>
    </w:p>
    <w:p w:rsidR="002F59B9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3)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та перелік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діяльності, залученого Фондом гарантування;</w:t>
      </w:r>
    </w:p>
    <w:p w:rsidR="002F59B9" w:rsidRPr="000F20B5" w:rsidRDefault="002F59B9" w:rsidP="00EE0CCA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5) запропонує ціну за акції перехідного банку, яка перевищить початкову ціну;</w:t>
      </w:r>
    </w:p>
    <w:p w:rsidR="002F59B9" w:rsidRPr="00456B54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>ного заход</w:t>
      </w:r>
      <w:r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2F59B9" w:rsidRPr="00F12BA7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7)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термін, але не пізніше ніж протягом трьох місяців з дати створення перехідного банку із посиланням на план заходів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2F59B9" w:rsidRPr="000F20B5" w:rsidRDefault="002F59B9" w:rsidP="00CD5785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2F59B9" w:rsidRPr="00417036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0F20B5">
        <w:rPr>
          <w:rFonts w:ascii="Times New Roman" w:hAnsi="Times New Roman"/>
          <w:b w:val="0"/>
          <w:sz w:val="28"/>
          <w:szCs w:val="28"/>
        </w:rPr>
        <w:t>Про необхідність отримання фінансової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F20B5">
        <w:rPr>
          <w:rFonts w:ascii="Times New Roman" w:hAnsi="Times New Roman"/>
          <w:b w:val="0"/>
          <w:sz w:val="28"/>
          <w:szCs w:val="28"/>
        </w:rPr>
        <w:t>підтримки перехідним банк</w:t>
      </w:r>
      <w:r>
        <w:rPr>
          <w:rFonts w:ascii="Times New Roman" w:hAnsi="Times New Roman"/>
          <w:b w:val="0"/>
          <w:sz w:val="28"/>
          <w:szCs w:val="28"/>
        </w:rPr>
        <w:t xml:space="preserve">ом </w:t>
      </w:r>
      <w:r w:rsidRPr="000F20B5">
        <w:rPr>
          <w:rFonts w:ascii="Times New Roman" w:hAnsi="Times New Roman"/>
          <w:b w:val="0"/>
          <w:sz w:val="28"/>
          <w:szCs w:val="28"/>
        </w:rPr>
        <w:t>від</w:t>
      </w:r>
      <w:r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Pr="000F20B5">
        <w:rPr>
          <w:rFonts w:ascii="Times New Roman" w:hAnsi="Times New Roman"/>
          <w:b w:val="0"/>
          <w:sz w:val="28"/>
          <w:szCs w:val="28"/>
        </w:rPr>
        <w:t>гар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F20B5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т</w:t>
      </w:r>
      <w:r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Pr="004D39C3">
        <w:rPr>
          <w:rFonts w:ascii="Times New Roman" w:hAnsi="Times New Roman"/>
          <w:b w:val="0"/>
          <w:sz w:val="28"/>
        </w:rPr>
        <w:t xml:space="preserve"> інформує Фонд </w:t>
      </w:r>
      <w:r>
        <w:rPr>
          <w:rFonts w:ascii="Times New Roman" w:hAnsi="Times New Roman"/>
          <w:b w:val="0"/>
          <w:sz w:val="28"/>
        </w:rPr>
        <w:t xml:space="preserve">гарантування  </w:t>
      </w:r>
      <w:r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>
        <w:rPr>
          <w:rFonts w:ascii="Times New Roman" w:hAnsi="Times New Roman"/>
          <w:b w:val="0"/>
          <w:sz w:val="28"/>
        </w:rPr>
        <w:t xml:space="preserve">надання </w:t>
      </w:r>
      <w:r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>
        <w:rPr>
          <w:rFonts w:ascii="Times New Roman" w:hAnsi="Times New Roman"/>
          <w:b w:val="0"/>
          <w:sz w:val="28"/>
        </w:rPr>
        <w:t>її форми і розміру</w:t>
      </w:r>
      <w:r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2F59B9" w:rsidRDefault="002F59B9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2F59B9" w:rsidRPr="004D39C3" w:rsidRDefault="002F59B9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>
        <w:rPr>
          <w:rFonts w:ascii="Times New Roman" w:hAnsi="Times New Roman"/>
          <w:b w:val="0"/>
          <w:sz w:val="28"/>
          <w:szCs w:val="28"/>
        </w:rPr>
        <w:t xml:space="preserve"> до моменту створення перехідного банку</w:t>
      </w:r>
      <w:r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2F59B9" w:rsidRPr="004D39C3" w:rsidRDefault="002F59B9" w:rsidP="004D39C3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2F59B9" w:rsidRPr="00340695" w:rsidRDefault="002F59B9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2F59B9" w:rsidRDefault="002F59B9" w:rsidP="00FC0070"/>
    <w:sectPr w:rsidR="002F59B9" w:rsidSect="00B21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B9" w:rsidRDefault="002F59B9" w:rsidP="004B7992">
      <w:pPr>
        <w:spacing w:after="0" w:line="240" w:lineRule="auto"/>
      </w:pPr>
      <w:r>
        <w:separator/>
      </w:r>
    </w:p>
  </w:endnote>
  <w:endnote w:type="continuationSeparator" w:id="0">
    <w:p w:rsidR="002F59B9" w:rsidRDefault="002F59B9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Footer"/>
      <w:jc w:val="right"/>
    </w:pPr>
    <w:fldSimple w:instr="PAGE   \* MERGEFORMAT">
      <w:r w:rsidRPr="00217F24">
        <w:rPr>
          <w:noProof/>
          <w:lang w:val="ru-RU"/>
        </w:rPr>
        <w:t>4</w:t>
      </w:r>
    </w:fldSimple>
  </w:p>
  <w:p w:rsidR="002F59B9" w:rsidRDefault="002F59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B9" w:rsidRDefault="002F59B9" w:rsidP="004B7992">
      <w:pPr>
        <w:spacing w:after="0" w:line="240" w:lineRule="auto"/>
      </w:pPr>
      <w:r>
        <w:separator/>
      </w:r>
    </w:p>
  </w:footnote>
  <w:footnote w:type="continuationSeparator" w:id="0">
    <w:p w:rsidR="002F59B9" w:rsidRDefault="002F59B9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B9" w:rsidRDefault="002F5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C97"/>
    <w:rsid w:val="00060A3F"/>
    <w:rsid w:val="00065F67"/>
    <w:rsid w:val="0007588B"/>
    <w:rsid w:val="00083300"/>
    <w:rsid w:val="00090EBD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1F3CE9"/>
    <w:rsid w:val="00202729"/>
    <w:rsid w:val="00217F24"/>
    <w:rsid w:val="00260D07"/>
    <w:rsid w:val="002B7E7F"/>
    <w:rsid w:val="002E1120"/>
    <w:rsid w:val="002F59B9"/>
    <w:rsid w:val="0033044C"/>
    <w:rsid w:val="00331F9E"/>
    <w:rsid w:val="00340695"/>
    <w:rsid w:val="00361384"/>
    <w:rsid w:val="003B54EC"/>
    <w:rsid w:val="00417036"/>
    <w:rsid w:val="00437FC0"/>
    <w:rsid w:val="00456B54"/>
    <w:rsid w:val="004809B9"/>
    <w:rsid w:val="004B7992"/>
    <w:rsid w:val="004D39C3"/>
    <w:rsid w:val="004E255B"/>
    <w:rsid w:val="005C146B"/>
    <w:rsid w:val="005F0949"/>
    <w:rsid w:val="0062006D"/>
    <w:rsid w:val="006229E1"/>
    <w:rsid w:val="006644BA"/>
    <w:rsid w:val="006B45A6"/>
    <w:rsid w:val="006F7AD3"/>
    <w:rsid w:val="00714C97"/>
    <w:rsid w:val="00733BB4"/>
    <w:rsid w:val="00735FC4"/>
    <w:rsid w:val="00786910"/>
    <w:rsid w:val="00800E29"/>
    <w:rsid w:val="00820124"/>
    <w:rsid w:val="00862F55"/>
    <w:rsid w:val="00863A4C"/>
    <w:rsid w:val="008653FE"/>
    <w:rsid w:val="008822B3"/>
    <w:rsid w:val="008857D3"/>
    <w:rsid w:val="00955310"/>
    <w:rsid w:val="0099272A"/>
    <w:rsid w:val="009D0D60"/>
    <w:rsid w:val="009E096B"/>
    <w:rsid w:val="009F78F2"/>
    <w:rsid w:val="00A17D26"/>
    <w:rsid w:val="00A65516"/>
    <w:rsid w:val="00A70EF6"/>
    <w:rsid w:val="00A80876"/>
    <w:rsid w:val="00A92E6B"/>
    <w:rsid w:val="00AB7B78"/>
    <w:rsid w:val="00AD4F68"/>
    <w:rsid w:val="00AD6F99"/>
    <w:rsid w:val="00AE40DE"/>
    <w:rsid w:val="00B0704C"/>
    <w:rsid w:val="00B215B6"/>
    <w:rsid w:val="00B21D3A"/>
    <w:rsid w:val="00B245E9"/>
    <w:rsid w:val="00B256BF"/>
    <w:rsid w:val="00B60816"/>
    <w:rsid w:val="00B645FE"/>
    <w:rsid w:val="00B66B08"/>
    <w:rsid w:val="00B7757B"/>
    <w:rsid w:val="00BC7312"/>
    <w:rsid w:val="00BD222C"/>
    <w:rsid w:val="00BF58DD"/>
    <w:rsid w:val="00C34E4F"/>
    <w:rsid w:val="00C45606"/>
    <w:rsid w:val="00C530CD"/>
    <w:rsid w:val="00C719B8"/>
    <w:rsid w:val="00C92CC9"/>
    <w:rsid w:val="00CA4974"/>
    <w:rsid w:val="00CB3A69"/>
    <w:rsid w:val="00CD2D95"/>
    <w:rsid w:val="00CD5785"/>
    <w:rsid w:val="00CE4286"/>
    <w:rsid w:val="00CE63B6"/>
    <w:rsid w:val="00CF2E42"/>
    <w:rsid w:val="00D221B9"/>
    <w:rsid w:val="00D320C8"/>
    <w:rsid w:val="00D47B14"/>
    <w:rsid w:val="00D847CA"/>
    <w:rsid w:val="00DB2EC7"/>
    <w:rsid w:val="00E1503E"/>
    <w:rsid w:val="00E561BF"/>
    <w:rsid w:val="00E8029E"/>
    <w:rsid w:val="00EE0CCA"/>
    <w:rsid w:val="00F001A2"/>
    <w:rsid w:val="00F12BA7"/>
    <w:rsid w:val="00F3307C"/>
    <w:rsid w:val="00F57342"/>
    <w:rsid w:val="00FC0070"/>
    <w:rsid w:val="00FC1370"/>
    <w:rsid w:val="00FD7603"/>
    <w:rsid w:val="00FF0685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7992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99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7992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799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7992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7992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7992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7992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7992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7992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992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992"/>
    <w:rPr>
      <w:rFonts w:ascii="Calibri" w:eastAsia="Times New Roman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F6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4</Pages>
  <Words>1248</Words>
  <Characters>7118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25</cp:revision>
  <cp:lastPrinted>2015-03-13T07:54:00Z</cp:lastPrinted>
  <dcterms:created xsi:type="dcterms:W3CDTF">2015-01-31T12:09:00Z</dcterms:created>
  <dcterms:modified xsi:type="dcterms:W3CDTF">2015-03-13T09:46:00Z</dcterms:modified>
</cp:coreProperties>
</file>