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187E8D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A17D26" w:rsidRPr="00900472" w:rsidRDefault="0075151C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6B7E57">
        <w:rPr>
          <w:rFonts w:ascii="Times New Roman" w:hAnsi="Times New Roman"/>
          <w:b/>
          <w:sz w:val="24"/>
          <w:szCs w:val="24"/>
        </w:rPr>
        <w:t>ПАТ «</w:t>
      </w:r>
      <w:r w:rsidR="00516489">
        <w:rPr>
          <w:rFonts w:ascii="Times New Roman" w:hAnsi="Times New Roman"/>
          <w:b/>
          <w:sz w:val="24"/>
          <w:szCs w:val="24"/>
        </w:rPr>
        <w:t>РАДИКАЛ БАНК</w:t>
      </w:r>
      <w:r w:rsidRPr="006B7E57">
        <w:rPr>
          <w:rFonts w:ascii="Times New Roman" w:hAnsi="Times New Roman"/>
          <w:b/>
          <w:sz w:val="24"/>
          <w:szCs w:val="24"/>
        </w:rPr>
        <w:t>»</w:t>
      </w:r>
      <w:r w:rsidR="00A17D26" w:rsidRPr="00900472">
        <w:rPr>
          <w:rFonts w:ascii="Times New Roman" w:hAnsi="Times New Roman"/>
          <w:b/>
          <w:sz w:val="28"/>
        </w:rPr>
        <w:t>,</w:t>
      </w:r>
    </w:p>
    <w:p w:rsidR="00A17D26" w:rsidRPr="00A17D26" w:rsidRDefault="00A17D26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111470">
        <w:rPr>
          <w:rFonts w:ascii="Times New Roman" w:eastAsia="Times New Roman" w:hAnsi="Times New Roman"/>
          <w:kern w:val="32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516489">
        <w:rPr>
          <w:rFonts w:ascii="Times New Roman" w:hAnsi="Times New Roman"/>
          <w:sz w:val="28"/>
          <w:szCs w:val="28"/>
        </w:rPr>
        <w:t>РАДИКАЛ БАНК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516489">
        <w:rPr>
          <w:rFonts w:ascii="Times New Roman" w:hAnsi="Times New Roman"/>
          <w:sz w:val="28"/>
          <w:szCs w:val="28"/>
        </w:rPr>
        <w:t>1</w:t>
      </w:r>
      <w:r w:rsidR="00516489" w:rsidRPr="003432AC">
        <w:rPr>
          <w:rFonts w:ascii="Times New Roman" w:hAnsi="Times New Roman"/>
          <w:sz w:val="28"/>
          <w:szCs w:val="28"/>
        </w:rPr>
        <w:t> 5</w:t>
      </w:r>
      <w:r w:rsidR="00516489">
        <w:rPr>
          <w:rFonts w:ascii="Times New Roman" w:hAnsi="Times New Roman"/>
          <w:sz w:val="28"/>
          <w:szCs w:val="28"/>
        </w:rPr>
        <w:t>78</w:t>
      </w:r>
      <w:r w:rsidR="00516489" w:rsidRPr="003432AC">
        <w:rPr>
          <w:rFonts w:ascii="Times New Roman" w:hAnsi="Times New Roman"/>
          <w:sz w:val="28"/>
          <w:szCs w:val="28"/>
        </w:rPr>
        <w:t> </w:t>
      </w:r>
      <w:r w:rsidR="00EC3456" w:rsidRPr="003432AC">
        <w:rPr>
          <w:rFonts w:ascii="Times New Roman" w:hAnsi="Times New Roman"/>
          <w:sz w:val="28"/>
          <w:szCs w:val="28"/>
        </w:rPr>
        <w:t>000</w:t>
      </w:r>
      <w:r w:rsidRPr="003432AC">
        <w:rPr>
          <w:rFonts w:ascii="Times New Roman" w:hAnsi="Times New Roman"/>
          <w:sz w:val="28"/>
          <w:szCs w:val="28"/>
        </w:rPr>
        <w:t xml:space="preserve"> грн. (</w:t>
      </w:r>
      <w:r w:rsidR="00516489">
        <w:rPr>
          <w:rFonts w:ascii="Times New Roman" w:hAnsi="Times New Roman"/>
          <w:sz w:val="28"/>
          <w:szCs w:val="28"/>
        </w:rPr>
        <w:t>один мільйон п’ятсот сімде</w:t>
      </w:r>
      <w:bookmarkStart w:id="0" w:name="_GoBack"/>
      <w:bookmarkEnd w:id="0"/>
      <w:r w:rsidR="00516489">
        <w:rPr>
          <w:rFonts w:ascii="Times New Roman" w:hAnsi="Times New Roman"/>
          <w:sz w:val="28"/>
          <w:szCs w:val="28"/>
        </w:rPr>
        <w:t>сят вісім</w:t>
      </w:r>
      <w:r w:rsidR="000D65BE" w:rsidRPr="003432AC">
        <w:rPr>
          <w:rFonts w:ascii="Times New Roman" w:hAnsi="Times New Roman"/>
          <w:sz w:val="28"/>
          <w:szCs w:val="28"/>
        </w:rPr>
        <w:t xml:space="preserve"> тисяч </w:t>
      </w:r>
      <w:r w:rsidRPr="003432AC">
        <w:rPr>
          <w:rFonts w:ascii="Times New Roman" w:hAnsi="Times New Roman"/>
          <w:sz w:val="28"/>
          <w:szCs w:val="28"/>
        </w:rPr>
        <w:t>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111470">
        <w:rPr>
          <w:rFonts w:ascii="Times New Roman" w:hAnsi="Times New Roman"/>
          <w:sz w:val="28"/>
          <w:szCs w:val="28"/>
        </w:rPr>
        <w:t>П</w:t>
      </w:r>
      <w:r w:rsidR="00DB417F" w:rsidRPr="005F55FB">
        <w:rPr>
          <w:rFonts w:ascii="Times New Roman" w:hAnsi="Times New Roman"/>
          <w:sz w:val="28"/>
          <w:szCs w:val="28"/>
        </w:rPr>
        <w:t>АТ «</w:t>
      </w:r>
      <w:r w:rsidR="00516489">
        <w:rPr>
          <w:rFonts w:ascii="Times New Roman" w:hAnsi="Times New Roman"/>
          <w:sz w:val="28"/>
          <w:szCs w:val="28"/>
        </w:rPr>
        <w:t>РАДИКАЛ БАНК</w:t>
      </w:r>
      <w:r w:rsidR="00DB417F"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C92CC9" w:rsidRPr="004662CF" w:rsidRDefault="00C92CC9" w:rsidP="00C273C7"/>
    <w:p w:rsidR="00C273C7" w:rsidRPr="004662CF" w:rsidRDefault="00C273C7" w:rsidP="00C273C7"/>
    <w:sectPr w:rsidR="00C273C7" w:rsidRPr="004662CF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B3" w:rsidRDefault="004444B3" w:rsidP="00A17D26">
      <w:pPr>
        <w:spacing w:after="0" w:line="240" w:lineRule="auto"/>
      </w:pPr>
      <w:r>
        <w:separator/>
      </w:r>
    </w:p>
  </w:endnote>
  <w:endnote w:type="continuationSeparator" w:id="1">
    <w:p w:rsidR="004444B3" w:rsidRDefault="004444B3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1C5373">
        <w:pPr>
          <w:pStyle w:val="a5"/>
          <w:jc w:val="right"/>
        </w:pPr>
        <w:r w:rsidRPr="001C5373">
          <w:fldChar w:fldCharType="begin"/>
        </w:r>
        <w:r w:rsidR="0075151C">
          <w:instrText>PAGE   \* MERGEFORMAT</w:instrText>
        </w:r>
        <w:r w:rsidRPr="001C5373">
          <w:fldChar w:fldCharType="separate"/>
        </w:r>
        <w:r w:rsidR="004662CF" w:rsidRPr="004662CF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B3" w:rsidRDefault="004444B3" w:rsidP="00A17D26">
      <w:pPr>
        <w:spacing w:after="0" w:line="240" w:lineRule="auto"/>
      </w:pPr>
      <w:r>
        <w:separator/>
      </w:r>
    </w:p>
  </w:footnote>
  <w:footnote w:type="continuationSeparator" w:id="1">
    <w:p w:rsidR="004444B3" w:rsidRDefault="004444B3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60383"/>
    <w:rsid w:val="000853BE"/>
    <w:rsid w:val="000D65BE"/>
    <w:rsid w:val="00111470"/>
    <w:rsid w:val="00123FF9"/>
    <w:rsid w:val="001367DF"/>
    <w:rsid w:val="00186042"/>
    <w:rsid w:val="001C5373"/>
    <w:rsid w:val="001D5353"/>
    <w:rsid w:val="001E37BD"/>
    <w:rsid w:val="00235045"/>
    <w:rsid w:val="002555E3"/>
    <w:rsid w:val="00271756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42224"/>
    <w:rsid w:val="004444B3"/>
    <w:rsid w:val="00454603"/>
    <w:rsid w:val="004662CF"/>
    <w:rsid w:val="00484100"/>
    <w:rsid w:val="004A00EA"/>
    <w:rsid w:val="004B5FAF"/>
    <w:rsid w:val="00516489"/>
    <w:rsid w:val="00563CA2"/>
    <w:rsid w:val="00584BA3"/>
    <w:rsid w:val="005A585E"/>
    <w:rsid w:val="005A6513"/>
    <w:rsid w:val="005F0E59"/>
    <w:rsid w:val="00602F2D"/>
    <w:rsid w:val="0064076D"/>
    <w:rsid w:val="006A67D5"/>
    <w:rsid w:val="006B7E57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20600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273C7"/>
    <w:rsid w:val="00C63278"/>
    <w:rsid w:val="00C65867"/>
    <w:rsid w:val="00C70F05"/>
    <w:rsid w:val="00C92CC9"/>
    <w:rsid w:val="00CE63B6"/>
    <w:rsid w:val="00D41BB8"/>
    <w:rsid w:val="00D45859"/>
    <w:rsid w:val="00D56DC1"/>
    <w:rsid w:val="00DB417F"/>
    <w:rsid w:val="00DD5765"/>
    <w:rsid w:val="00DD7107"/>
    <w:rsid w:val="00DF2A06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DAD9-2271-4A07-B32F-7BC1E4A6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41</cp:revision>
  <cp:lastPrinted>2015-04-14T12:03:00Z</cp:lastPrinted>
  <dcterms:created xsi:type="dcterms:W3CDTF">2015-01-28T14:22:00Z</dcterms:created>
  <dcterms:modified xsi:type="dcterms:W3CDTF">2015-07-28T13:31:00Z</dcterms:modified>
</cp:coreProperties>
</file>